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865D7" w14:textId="5514E7A4" w:rsidR="003F6E0C" w:rsidRPr="00095CB0" w:rsidRDefault="00E50750" w:rsidP="0059203A">
      <w:pPr>
        <w:widowControl w:val="0"/>
        <w:spacing w:after="0" w:line="240" w:lineRule="auto"/>
        <w:jc w:val="right"/>
        <w:rPr>
          <w:rFonts w:asciiTheme="minorHAnsi" w:eastAsia="Liberation Serif" w:hAnsiTheme="minorHAnsi" w:cstheme="minorHAnsi"/>
          <w:color w:val="auto"/>
        </w:rPr>
      </w:pPr>
      <w:r w:rsidRPr="00095CB0">
        <w:rPr>
          <w:rFonts w:asciiTheme="minorHAnsi" w:eastAsia="Liberation Serif" w:hAnsiTheme="minorHAnsi" w:cstheme="minorHAnsi"/>
        </w:rPr>
        <w:tab/>
      </w:r>
      <w:r w:rsidRPr="00095CB0">
        <w:rPr>
          <w:rFonts w:asciiTheme="minorHAnsi" w:eastAsia="Liberation Serif" w:hAnsiTheme="minorHAnsi" w:cstheme="minorHAnsi"/>
        </w:rPr>
        <w:tab/>
      </w:r>
      <w:r w:rsidRPr="00095CB0">
        <w:rPr>
          <w:rFonts w:asciiTheme="minorHAnsi" w:eastAsia="Liberation Serif" w:hAnsiTheme="minorHAnsi" w:cstheme="minorHAnsi"/>
        </w:rPr>
        <w:tab/>
      </w:r>
      <w:r w:rsidRPr="00095CB0">
        <w:rPr>
          <w:rFonts w:asciiTheme="minorHAnsi" w:eastAsia="Liberation Serif" w:hAnsiTheme="minorHAnsi" w:cstheme="minorHAnsi"/>
        </w:rPr>
        <w:tab/>
      </w:r>
      <w:r w:rsidRPr="00095CB0">
        <w:rPr>
          <w:rFonts w:asciiTheme="minorHAnsi" w:eastAsia="Liberation Serif" w:hAnsiTheme="minorHAnsi" w:cstheme="minorHAnsi"/>
        </w:rPr>
        <w:tab/>
      </w:r>
      <w:r w:rsidRPr="00095CB0">
        <w:rPr>
          <w:rFonts w:asciiTheme="minorHAnsi" w:eastAsia="Liberation Serif" w:hAnsiTheme="minorHAnsi" w:cstheme="minorHAnsi"/>
        </w:rPr>
        <w:tab/>
      </w:r>
      <w:r w:rsidRPr="00095CB0">
        <w:rPr>
          <w:rFonts w:asciiTheme="minorHAnsi" w:eastAsia="Liberation Serif" w:hAnsiTheme="minorHAnsi" w:cstheme="minorHAnsi"/>
        </w:rPr>
        <w:tab/>
      </w:r>
      <w:r w:rsidRPr="00095CB0">
        <w:rPr>
          <w:rFonts w:asciiTheme="minorHAnsi" w:eastAsia="Liberation Serif" w:hAnsiTheme="minorHAnsi" w:cstheme="minorHAnsi"/>
        </w:rPr>
        <w:tab/>
      </w:r>
      <w:r w:rsidR="00095CB0" w:rsidRPr="00095CB0">
        <w:rPr>
          <w:rFonts w:asciiTheme="minorHAnsi" w:eastAsia="Liberation Serif" w:hAnsiTheme="minorHAnsi" w:cstheme="minorHAnsi"/>
          <w:color w:val="auto"/>
        </w:rPr>
        <w:t>Załącznik nr 4</w:t>
      </w:r>
    </w:p>
    <w:p w14:paraId="6C7EAE31" w14:textId="77777777" w:rsidR="003F6E0C" w:rsidRPr="00095CB0" w:rsidRDefault="003F6E0C" w:rsidP="0059203A">
      <w:pPr>
        <w:widowControl w:val="0"/>
        <w:spacing w:after="0" w:line="240" w:lineRule="auto"/>
        <w:jc w:val="right"/>
        <w:rPr>
          <w:rFonts w:asciiTheme="minorHAnsi" w:eastAsia="Liberation Serif" w:hAnsiTheme="minorHAnsi" w:cstheme="minorHAnsi"/>
          <w:color w:val="auto"/>
        </w:rPr>
      </w:pPr>
    </w:p>
    <w:p w14:paraId="4AD52408" w14:textId="77777777" w:rsidR="00131D06" w:rsidRPr="00095CB0" w:rsidRDefault="00131D06" w:rsidP="0059203A">
      <w:pPr>
        <w:widowControl w:val="0"/>
        <w:spacing w:after="0" w:line="240" w:lineRule="auto"/>
        <w:jc w:val="center"/>
        <w:rPr>
          <w:rFonts w:asciiTheme="minorHAnsi" w:eastAsia="Liberation Serif" w:hAnsiTheme="minorHAnsi" w:cstheme="minorHAnsi"/>
          <w:b/>
        </w:rPr>
      </w:pPr>
    </w:p>
    <w:p w14:paraId="6DD41ECB" w14:textId="77777777" w:rsidR="00131D06" w:rsidRPr="00095CB0" w:rsidRDefault="00131D06" w:rsidP="0059203A">
      <w:pPr>
        <w:widowControl w:val="0"/>
        <w:spacing w:after="0" w:line="240" w:lineRule="auto"/>
        <w:jc w:val="center"/>
        <w:rPr>
          <w:rFonts w:asciiTheme="minorHAnsi" w:eastAsia="Liberation Serif" w:hAnsiTheme="minorHAnsi" w:cstheme="minorHAnsi"/>
          <w:b/>
        </w:rPr>
      </w:pPr>
      <w:bookmarkStart w:id="0" w:name="_GoBack"/>
      <w:bookmarkEnd w:id="0"/>
    </w:p>
    <w:p w14:paraId="5EB3BF65" w14:textId="08DAAB9F" w:rsidR="00095CB0" w:rsidRPr="00095CB0" w:rsidRDefault="00095CB0" w:rsidP="00095CB0">
      <w:pPr>
        <w:tabs>
          <w:tab w:val="left" w:pos="6480"/>
        </w:tabs>
        <w:spacing w:line="240" w:lineRule="auto"/>
        <w:jc w:val="center"/>
        <w:rPr>
          <w:rFonts w:asciiTheme="minorHAnsi" w:hAnsiTheme="minorHAnsi" w:cstheme="minorHAnsi"/>
          <w:b/>
        </w:rPr>
      </w:pPr>
      <w:r w:rsidRPr="00095CB0">
        <w:rPr>
          <w:rFonts w:asciiTheme="minorHAnsi" w:hAnsiTheme="minorHAnsi" w:cstheme="minorHAnsi"/>
          <w:b/>
        </w:rPr>
        <w:t>Podstawowe informacje dotyczące uzyskiwania kwalifikacji w rama</w:t>
      </w:r>
      <w:r w:rsidRPr="00095CB0">
        <w:rPr>
          <w:rFonts w:asciiTheme="minorHAnsi" w:hAnsiTheme="minorHAnsi" w:cstheme="minorHAnsi"/>
          <w:b/>
        </w:rPr>
        <w:t>ch projektów współfinansowanych</w:t>
      </w:r>
      <w:r w:rsidRPr="00095CB0">
        <w:rPr>
          <w:rFonts w:asciiTheme="minorHAnsi" w:hAnsiTheme="minorHAnsi" w:cstheme="minorHAnsi"/>
          <w:b/>
        </w:rPr>
        <w:t xml:space="preserve"> </w:t>
      </w:r>
      <w:r w:rsidRPr="00095CB0">
        <w:rPr>
          <w:rFonts w:asciiTheme="minorHAnsi" w:hAnsiTheme="minorHAnsi" w:cstheme="minorHAnsi"/>
          <w:b/>
        </w:rPr>
        <w:br/>
      </w:r>
      <w:r w:rsidRPr="00095CB0">
        <w:rPr>
          <w:rFonts w:asciiTheme="minorHAnsi" w:hAnsiTheme="minorHAnsi" w:cstheme="minorHAnsi"/>
          <w:b/>
        </w:rPr>
        <w:t>z Europejskiego Funduszu Społecznego.</w:t>
      </w:r>
    </w:p>
    <w:p w14:paraId="30C27A82" w14:textId="77777777" w:rsidR="00095CB0" w:rsidRPr="00095CB0" w:rsidRDefault="00095CB0" w:rsidP="00095CB0">
      <w:pPr>
        <w:tabs>
          <w:tab w:val="left" w:pos="6480"/>
        </w:tabs>
        <w:spacing w:line="240" w:lineRule="auto"/>
        <w:rPr>
          <w:rFonts w:asciiTheme="minorHAnsi" w:hAnsiTheme="minorHAnsi" w:cstheme="minorHAnsi"/>
        </w:rPr>
      </w:pPr>
      <w:r w:rsidRPr="00095CB0">
        <w:rPr>
          <w:rFonts w:asciiTheme="minorHAnsi" w:hAnsiTheme="minorHAnsi" w:cstheme="minorHAnsi"/>
        </w:rPr>
        <w:t xml:space="preserve"> </w:t>
      </w:r>
    </w:p>
    <w:p w14:paraId="233DE07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W ramach programów współfinansowanych z Europejskiego Funduszu Społecznego (EFS) w perspektywie finansowej 2014-2020 jednym ze wskaźników rezultatu jest </w:t>
      </w:r>
      <w:r w:rsidRPr="00095CB0">
        <w:rPr>
          <w:rFonts w:asciiTheme="minorHAnsi" w:hAnsiTheme="minorHAnsi" w:cstheme="minorHAnsi"/>
          <w:i/>
          <w:color w:val="auto"/>
          <w:lang w:eastAsia="en-US"/>
        </w:rPr>
        <w:t xml:space="preserve">liczba osób, które uzyskały kwalifikacje. </w:t>
      </w:r>
      <w:r w:rsidRPr="00095CB0">
        <w:rPr>
          <w:rFonts w:asciiTheme="minorHAnsi" w:hAnsiTheme="minorHAnsi" w:cstheme="minorHAnsi"/>
          <w:color w:val="auto"/>
          <w:lang w:eastAsia="en-US"/>
        </w:rPr>
        <w:t xml:space="preserve">Jest to wskaźnik wspólny, który obowiązkowo monitorowany jest we wszystkich projektach EFS. Jest to również wskaźnik kluczowy w niektórych obszarach interwencji EFS np. w ramach projektów dotyczących aktywizacji zawodowej (priorytet inwestycyjny 8i – </w:t>
      </w:r>
      <w:r w:rsidRPr="00095CB0">
        <w:rPr>
          <w:rFonts w:asciiTheme="minorHAnsi" w:hAnsiTheme="minorHAnsi" w:cstheme="minorHAnsi"/>
          <w:i/>
          <w:color w:val="auto"/>
          <w:lang w:eastAsia="en-US"/>
        </w:rPr>
        <w:t>liczba osób które uzyskały kwalifikacje po opuszczeniu programu</w:t>
      </w:r>
      <w:r w:rsidRPr="00095CB0">
        <w:rPr>
          <w:rFonts w:asciiTheme="minorHAnsi" w:hAnsiTheme="minorHAnsi" w:cstheme="minorHAnsi"/>
          <w:color w:val="auto"/>
          <w:lang w:eastAsia="en-US"/>
        </w:rPr>
        <w:t xml:space="preserve">) lub aktywizacji społeczno-zawodowej (priorytet inwestycyjny 9i – </w:t>
      </w:r>
      <w:r w:rsidRPr="00095CB0">
        <w:rPr>
          <w:rFonts w:asciiTheme="minorHAnsi" w:hAnsiTheme="minorHAnsi" w:cstheme="minorHAnsi"/>
          <w:i/>
          <w:color w:val="auto"/>
          <w:lang w:eastAsia="en-US"/>
        </w:rPr>
        <w:t>liczba osób zagrożonych ubóstwem lub wykluczeniem społecznym, które uzyskały kwalifikacje po opuszczeniu programu)</w:t>
      </w:r>
      <w:r w:rsidRPr="00095CB0">
        <w:rPr>
          <w:rFonts w:asciiTheme="minorHAnsi" w:hAnsiTheme="minorHAnsi" w:cstheme="minorHAnsi"/>
          <w:color w:val="auto"/>
          <w:lang w:eastAsia="en-US"/>
        </w:rPr>
        <w:t xml:space="preserve">. W przypadku takich projektów EFS, wskaźnik ten jest wymagany do spełnienia i brak jego realizacji może powodować </w:t>
      </w:r>
      <w:proofErr w:type="spellStart"/>
      <w:r w:rsidRPr="00095CB0">
        <w:rPr>
          <w:rFonts w:asciiTheme="minorHAnsi" w:hAnsiTheme="minorHAnsi" w:cstheme="minorHAnsi"/>
          <w:color w:val="auto"/>
          <w:lang w:eastAsia="en-US"/>
        </w:rPr>
        <w:t>niekwalifikowalność</w:t>
      </w:r>
      <w:proofErr w:type="spellEnd"/>
      <w:r w:rsidRPr="00095CB0">
        <w:rPr>
          <w:rFonts w:asciiTheme="minorHAnsi" w:hAnsiTheme="minorHAnsi" w:cstheme="minorHAnsi"/>
          <w:color w:val="auto"/>
          <w:lang w:eastAsia="en-US"/>
        </w:rPr>
        <w:t xml:space="preserve"> wydatków z tytułu zastosowania reguły proporcjonalności. Istotne jest więc, aby beneficjenci i instytucje uczestniczące w systemie wdrażania EFS rozumieli jak należy interpretować wskaźnik dotyczący uzyskiwania kwalifikacji w projektach EFS. </w:t>
      </w:r>
    </w:p>
    <w:p w14:paraId="17D9555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Niniejszy dokument został opracowany przez Ministerstwo Rozwoju we współpracy z Instytutem Badań Edukacyjnych i Ministerstwem Edukacji Narodowej na podstawie </w:t>
      </w:r>
      <w:r w:rsidRPr="00095CB0">
        <w:rPr>
          <w:rFonts w:asciiTheme="minorHAnsi" w:hAnsiTheme="minorHAnsi" w:cstheme="minorHAnsi"/>
          <w:i/>
          <w:color w:val="auto"/>
          <w:lang w:eastAsia="en-US"/>
        </w:rPr>
        <w:t>Raportu Referencyjnego. Odniesienie Polskiej Ramy Kwalifikacji na rzecz Uczenia się przez całe życie do europejskiej ramy kwalifikacji</w:t>
      </w:r>
      <w:r w:rsidRPr="00095CB0">
        <w:rPr>
          <w:rFonts w:asciiTheme="minorHAnsi" w:hAnsiTheme="minorHAnsi" w:cstheme="minorHAnsi"/>
          <w:color w:val="auto"/>
          <w:lang w:eastAsia="en-US"/>
        </w:rPr>
        <w:t xml:space="preserve"> opracowanego przez Instytut Badań Edukacyjnych oraz ustawy o </w:t>
      </w:r>
      <w:r w:rsidRPr="00095CB0">
        <w:rPr>
          <w:rFonts w:asciiTheme="minorHAnsi" w:hAnsiTheme="minorHAnsi" w:cstheme="minorHAnsi"/>
          <w:i/>
          <w:color w:val="auto"/>
          <w:lang w:eastAsia="en-US"/>
        </w:rPr>
        <w:t>Zintegrowanym Systemie Kwalifikacji</w:t>
      </w:r>
      <w:r w:rsidRPr="00095CB0">
        <w:rPr>
          <w:rFonts w:asciiTheme="minorHAnsi" w:hAnsiTheme="minorHAnsi" w:cstheme="minorHAnsi"/>
          <w:color w:val="auto"/>
          <w:lang w:eastAsia="en-US"/>
        </w:rPr>
        <w:t xml:space="preserve"> z dnia 22 grudnia 2015 r. (Dz.U. z 2016 r., poz. 64). Ma być odpowiedzią na liczne wątpliwości dotyczące interpretacji pojęć odnoszących się do uzyskiwania kwalifikacji w projektach współfinansowanych ze środków EFS.</w:t>
      </w:r>
    </w:p>
    <w:p w14:paraId="07AC3DE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Materiał jest interpretacją Ministerstwa Rozwoju i jego rolą nie jest ogólne definiowanie kwalifikacji, ale wyjaśnienie, w jaki sposób mierzyć wskaźniki EFS dot. uzyskiwania kwalifikacji.  Opracowanie będzie obowiązywać do czasu pełnego uruchomienia Zintegrowanego Rejestru Kwalifikacji i ujęcia w nim odpowiedniej liczby tzw. kwalifikacji rynkowych. Ministerstwo przekaże informację o terminie, do kiedy powyższe zasady będą miały charakter obowiązujący w kontekście realizacji projektów współfinansowanych z EFS, a od kiedy za kwalifikacje będzie można uznać wyłącznie te określone w Zintegrowanym Rejestrze Kwalifikacji.</w:t>
      </w:r>
    </w:p>
    <w:p w14:paraId="75CFA972"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p>
    <w:p w14:paraId="3AA47526" w14:textId="77777777" w:rsidR="00095CB0" w:rsidRPr="00095CB0" w:rsidRDefault="00095CB0" w:rsidP="00095CB0">
      <w:pPr>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Pojęcie kwalifikacji</w:t>
      </w:r>
    </w:p>
    <w:p w14:paraId="522EFAA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b/>
          <w:color w:val="auto"/>
          <w:lang w:eastAsia="en-US"/>
        </w:rPr>
        <w:t>Kwalifikacja</w:t>
      </w:r>
      <w:r w:rsidRPr="00095CB0">
        <w:rPr>
          <w:rFonts w:asciiTheme="minorHAnsi" w:hAnsiTheme="minorHAnsi" w:cstheme="minorHAnsi"/>
          <w:color w:val="auto"/>
          <w:lang w:eastAsia="en-US"/>
        </w:rPr>
        <w:t xml:space="preserve"> to określony zestaw </w:t>
      </w:r>
      <w:r w:rsidRPr="00095CB0">
        <w:rPr>
          <w:rFonts w:asciiTheme="minorHAnsi" w:hAnsiTheme="minorHAnsi" w:cstheme="minorHAnsi"/>
          <w:color w:val="auto"/>
          <w:u w:val="single"/>
          <w:lang w:eastAsia="en-US"/>
        </w:rPr>
        <w:t>efektów uczenia się</w:t>
      </w:r>
      <w:r w:rsidRPr="00095CB0">
        <w:rPr>
          <w:rFonts w:asciiTheme="minorHAnsi" w:hAnsiTheme="minorHAnsi" w:cstheme="minorHAnsi"/>
          <w:color w:val="auto"/>
          <w:lang w:eastAsia="en-US"/>
        </w:rPr>
        <w:t xml:space="preserve"> w zakresie wiedzy, umiejętności oraz kompetencji społecznych nabytych w edukacji formalnej, edukacji </w:t>
      </w:r>
      <w:proofErr w:type="spellStart"/>
      <w:r w:rsidRPr="00095CB0">
        <w:rPr>
          <w:rFonts w:asciiTheme="minorHAnsi" w:hAnsiTheme="minorHAnsi" w:cstheme="minorHAnsi"/>
          <w:color w:val="auto"/>
          <w:lang w:eastAsia="en-US"/>
        </w:rPr>
        <w:t>pozaformalnej</w:t>
      </w:r>
      <w:proofErr w:type="spellEnd"/>
      <w:r w:rsidRPr="00095CB0">
        <w:rPr>
          <w:rFonts w:asciiTheme="minorHAnsi" w:hAnsiTheme="minorHAnsi" w:cstheme="minorHAnsi"/>
          <w:color w:val="auto"/>
          <w:lang w:eastAsia="en-US"/>
        </w:rPr>
        <w:t xml:space="preserve"> lub poprzez uczenie się nieformalne, zgodnych z ustalonymi dla danej kwalifikacji </w:t>
      </w:r>
      <w:r w:rsidRPr="00095CB0">
        <w:rPr>
          <w:rFonts w:asciiTheme="minorHAnsi" w:hAnsiTheme="minorHAnsi" w:cstheme="minorHAnsi"/>
          <w:color w:val="auto"/>
          <w:u w:val="single"/>
          <w:lang w:eastAsia="en-US"/>
        </w:rPr>
        <w:t>wymaganiami</w:t>
      </w:r>
      <w:r w:rsidRPr="00095CB0">
        <w:rPr>
          <w:rFonts w:asciiTheme="minorHAnsi" w:hAnsiTheme="minorHAnsi" w:cstheme="minorHAnsi"/>
          <w:color w:val="auto"/>
          <w:lang w:eastAsia="en-US"/>
        </w:rPr>
        <w:t xml:space="preserve">, których osiągnięcie zostało sprawdzone w walidacji oraz formalnie potwierdzone przez instytucję uprawnioną do certyfikowania.  </w:t>
      </w:r>
    </w:p>
    <w:p w14:paraId="6F5306A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b/>
          <w:color w:val="auto"/>
          <w:lang w:eastAsia="en-US"/>
        </w:rPr>
        <w:t>Zgodność z ustalonymi wymaganiami</w:t>
      </w:r>
      <w:r w:rsidRPr="00095CB0">
        <w:rPr>
          <w:rFonts w:asciiTheme="minorHAnsi" w:hAnsiTheme="minorHAnsi" w:cstheme="minorHAnsi"/>
          <w:color w:val="auto"/>
          <w:lang w:eastAsia="en-US"/>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F3305A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Opisanie kwalifikacji za pomocą </w:t>
      </w:r>
      <w:r w:rsidRPr="00095CB0">
        <w:rPr>
          <w:rFonts w:asciiTheme="minorHAnsi" w:hAnsiTheme="minorHAnsi" w:cstheme="minorHAnsi"/>
          <w:b/>
          <w:color w:val="auto"/>
          <w:lang w:eastAsia="en-US"/>
        </w:rPr>
        <w:t>efektów uczenia się</w:t>
      </w:r>
      <w:r w:rsidRPr="00095CB0">
        <w:rPr>
          <w:rFonts w:asciiTheme="minorHAnsi" w:hAnsiTheme="minorHAnsi" w:cstheme="minorHAnsi"/>
          <w:color w:val="auto"/>
          <w:lang w:eastAsia="en-US"/>
        </w:rPr>
        <w:t xml:space="preserve"> jest ważne z kilku powodów. Po pierwsze, pozwala w przejrzysty sposób przedstawić wiedzę, umiejętności i kompetencje społeczne osób posiadających kwalifikację. Stanowi więc cenne źródło informacji dla osób planujących swoją ścieżkę rozwoju osobistego i </w:t>
      </w:r>
      <w:r w:rsidRPr="00095CB0">
        <w:rPr>
          <w:rFonts w:asciiTheme="minorHAnsi" w:hAnsiTheme="minorHAnsi" w:cstheme="minorHAnsi"/>
          <w:color w:val="auto"/>
          <w:lang w:eastAsia="en-US"/>
        </w:rPr>
        <w:lastRenderedPageBreak/>
        <w:t>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095CB0">
        <w:rPr>
          <w:rFonts w:asciiTheme="minorHAnsi" w:hAnsiTheme="minorHAnsi" w:cstheme="minorHAnsi"/>
          <w:color w:val="auto"/>
          <w:vertAlign w:val="superscript"/>
          <w:lang w:eastAsia="en-US"/>
        </w:rPr>
        <w:footnoteReference w:id="1"/>
      </w:r>
      <w:r w:rsidRPr="00095CB0">
        <w:rPr>
          <w:rFonts w:asciiTheme="minorHAnsi" w:hAnsiTheme="minorHAnsi" w:cstheme="minorHAnsi"/>
          <w:color w:val="auto"/>
          <w:lang w:eastAsia="en-US"/>
        </w:rPr>
        <w:t>, a za jej pośrednictwem do Europejskiej Ramy Kwalifikacji. Ułatwi w ten sposób porównywanie ze sobą kwalifikacji funkcjonujących na krajowym i międzynarodowym rynku pracy.</w:t>
      </w:r>
    </w:p>
    <w:p w14:paraId="436D323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b/>
          <w:color w:val="auto"/>
          <w:lang w:eastAsia="en-US"/>
        </w:rPr>
        <w:t>Efekty uczenia</w:t>
      </w:r>
      <w:r w:rsidRPr="00095CB0">
        <w:rPr>
          <w:rFonts w:asciiTheme="minorHAnsi" w:hAnsiTheme="minorHAnsi" w:cstheme="minorHAnsi"/>
          <w:color w:val="auto"/>
          <w:lang w:eastAsia="en-US"/>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4F2CFBB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p>
    <w:p w14:paraId="0BC1861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Przykłady efektów uczenia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835"/>
        <w:gridCol w:w="4843"/>
      </w:tblGrid>
      <w:tr w:rsidR="00095CB0" w:rsidRPr="00095CB0" w14:paraId="3AD454F6" w14:textId="77777777" w:rsidTr="00095CB0">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27F7F"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Kwalifikacja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1DBC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Źródło informacji nt. kwalifikacji i efektów uczenia się</w:t>
            </w:r>
          </w:p>
        </w:tc>
        <w:tc>
          <w:tcPr>
            <w:tcW w:w="4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8C3A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Wybrane efekty uczenia się dla danej kwalifikacji</w:t>
            </w:r>
          </w:p>
          <w:p w14:paraId="5F75874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i/>
                <w:color w:val="auto"/>
                <w:lang w:eastAsia="en-US"/>
              </w:rPr>
              <w:t>Osoba ucząca się:</w:t>
            </w:r>
          </w:p>
        </w:tc>
      </w:tr>
      <w:tr w:rsidR="00095CB0" w:rsidRPr="00095CB0" w14:paraId="65FA4F4F" w14:textId="77777777" w:rsidTr="00095CB0">
        <w:tc>
          <w:tcPr>
            <w:tcW w:w="1384" w:type="dxa"/>
            <w:tcBorders>
              <w:top w:val="single" w:sz="4" w:space="0" w:color="auto"/>
              <w:left w:val="single" w:sz="4" w:space="0" w:color="auto"/>
              <w:bottom w:val="single" w:sz="4" w:space="0" w:color="auto"/>
              <w:right w:val="single" w:sz="4" w:space="0" w:color="auto"/>
            </w:tcBorders>
            <w:hideMark/>
          </w:tcPr>
          <w:p w14:paraId="7ECC3FD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Lekarz weterynarii</w:t>
            </w:r>
          </w:p>
        </w:tc>
        <w:tc>
          <w:tcPr>
            <w:tcW w:w="2835" w:type="dxa"/>
            <w:tcBorders>
              <w:top w:val="single" w:sz="4" w:space="0" w:color="auto"/>
              <w:left w:val="single" w:sz="4" w:space="0" w:color="auto"/>
              <w:bottom w:val="single" w:sz="4" w:space="0" w:color="auto"/>
              <w:right w:val="single" w:sz="4" w:space="0" w:color="auto"/>
            </w:tcBorders>
            <w:hideMark/>
          </w:tcPr>
          <w:p w14:paraId="7CBA69E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Program kształcenia na studiach jednolitych magisterskich na kierunku Weterynaria</w:t>
            </w:r>
          </w:p>
        </w:tc>
        <w:tc>
          <w:tcPr>
            <w:tcW w:w="4843" w:type="dxa"/>
            <w:tcBorders>
              <w:top w:val="single" w:sz="4" w:space="0" w:color="auto"/>
              <w:left w:val="single" w:sz="4" w:space="0" w:color="auto"/>
              <w:bottom w:val="single" w:sz="4" w:space="0" w:color="auto"/>
              <w:right w:val="single" w:sz="4" w:space="0" w:color="auto"/>
            </w:tcBorders>
            <w:hideMark/>
          </w:tcPr>
          <w:p w14:paraId="167DCFB6" w14:textId="77777777" w:rsidR="00095CB0" w:rsidRPr="00095CB0" w:rsidRDefault="00095CB0" w:rsidP="00095CB0">
            <w:pPr>
              <w:numPr>
                <w:ilvl w:val="0"/>
                <w:numId w:val="1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opisuje zasady żywienia zwierząt, układa i analizuje dawki pokarmowe</w:t>
            </w:r>
          </w:p>
          <w:p w14:paraId="73963847" w14:textId="77777777" w:rsidR="00095CB0" w:rsidRPr="00095CB0" w:rsidRDefault="00095CB0" w:rsidP="00095CB0">
            <w:pPr>
              <w:numPr>
                <w:ilvl w:val="0"/>
                <w:numId w:val="1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opisuje i wyjaśnia procesy metaboliczne na poziomie molekularnym, komórkowym</w:t>
            </w:r>
          </w:p>
          <w:p w14:paraId="64FA00B7" w14:textId="77777777" w:rsidR="00095CB0" w:rsidRPr="00095CB0" w:rsidRDefault="00095CB0" w:rsidP="00095CB0">
            <w:pPr>
              <w:numPr>
                <w:ilvl w:val="0"/>
                <w:numId w:val="1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wykonuje badania przed- i poubojowe oraz ocenia jakość produktów pochodzenia zwierzęcego</w:t>
            </w:r>
          </w:p>
        </w:tc>
      </w:tr>
      <w:tr w:rsidR="00095CB0" w:rsidRPr="00095CB0" w14:paraId="1F5EA3B2" w14:textId="77777777" w:rsidTr="00095CB0">
        <w:tc>
          <w:tcPr>
            <w:tcW w:w="1384" w:type="dxa"/>
            <w:tcBorders>
              <w:top w:val="single" w:sz="4" w:space="0" w:color="auto"/>
              <w:left w:val="single" w:sz="4" w:space="0" w:color="auto"/>
              <w:bottom w:val="single" w:sz="4" w:space="0" w:color="auto"/>
              <w:right w:val="single" w:sz="4" w:space="0" w:color="auto"/>
            </w:tcBorders>
            <w:hideMark/>
          </w:tcPr>
          <w:p w14:paraId="4EC179F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Magister farmacji</w:t>
            </w:r>
          </w:p>
        </w:tc>
        <w:tc>
          <w:tcPr>
            <w:tcW w:w="2835" w:type="dxa"/>
            <w:tcBorders>
              <w:top w:val="single" w:sz="4" w:space="0" w:color="auto"/>
              <w:left w:val="single" w:sz="4" w:space="0" w:color="auto"/>
              <w:bottom w:val="single" w:sz="4" w:space="0" w:color="auto"/>
              <w:right w:val="single" w:sz="4" w:space="0" w:color="auto"/>
            </w:tcBorders>
            <w:hideMark/>
          </w:tcPr>
          <w:p w14:paraId="6F6FF022"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Program kształcenia na studiach jednolitych magisterskich na kierunku Farmacja </w:t>
            </w:r>
          </w:p>
        </w:tc>
        <w:tc>
          <w:tcPr>
            <w:tcW w:w="4843" w:type="dxa"/>
            <w:tcBorders>
              <w:top w:val="single" w:sz="4" w:space="0" w:color="auto"/>
              <w:left w:val="single" w:sz="4" w:space="0" w:color="auto"/>
              <w:bottom w:val="single" w:sz="4" w:space="0" w:color="auto"/>
              <w:right w:val="single" w:sz="4" w:space="0" w:color="auto"/>
            </w:tcBorders>
            <w:hideMark/>
          </w:tcPr>
          <w:p w14:paraId="345C4389" w14:textId="77777777" w:rsidR="00095CB0" w:rsidRPr="00095CB0" w:rsidRDefault="00095CB0" w:rsidP="00095CB0">
            <w:pPr>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opisuje wpływ środków dezynfekujących i antyseptycznych na drobnoustroje</w:t>
            </w:r>
          </w:p>
          <w:p w14:paraId="5297A9EC" w14:textId="77777777" w:rsidR="00095CB0" w:rsidRPr="00095CB0" w:rsidRDefault="00095CB0" w:rsidP="00095CB0">
            <w:pPr>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wykorzystuje techniki biologii molekularnej w diagnostyce mikrobiologicznej</w:t>
            </w:r>
          </w:p>
        </w:tc>
      </w:tr>
      <w:tr w:rsidR="00095CB0" w:rsidRPr="00095CB0" w14:paraId="32A07B2B" w14:textId="77777777" w:rsidTr="00095CB0">
        <w:tc>
          <w:tcPr>
            <w:tcW w:w="1384" w:type="dxa"/>
            <w:tcBorders>
              <w:top w:val="single" w:sz="4" w:space="0" w:color="auto"/>
              <w:left w:val="single" w:sz="4" w:space="0" w:color="auto"/>
              <w:bottom w:val="single" w:sz="4" w:space="0" w:color="auto"/>
              <w:right w:val="single" w:sz="4" w:space="0" w:color="auto"/>
            </w:tcBorders>
            <w:hideMark/>
          </w:tcPr>
          <w:p w14:paraId="0CBA98C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Świadectwo ukończenia szkoły podstawowej</w:t>
            </w:r>
          </w:p>
        </w:tc>
        <w:tc>
          <w:tcPr>
            <w:tcW w:w="2835" w:type="dxa"/>
            <w:tcBorders>
              <w:top w:val="single" w:sz="4" w:space="0" w:color="auto"/>
              <w:left w:val="single" w:sz="4" w:space="0" w:color="auto"/>
              <w:bottom w:val="single" w:sz="4" w:space="0" w:color="auto"/>
              <w:right w:val="single" w:sz="4" w:space="0" w:color="auto"/>
            </w:tcBorders>
            <w:hideMark/>
          </w:tcPr>
          <w:p w14:paraId="6D844EE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Podstawa programowa edukacji wczesnoszkolnej w zakresie matematyki (klasy I-III)</w:t>
            </w:r>
          </w:p>
        </w:tc>
        <w:tc>
          <w:tcPr>
            <w:tcW w:w="4843" w:type="dxa"/>
            <w:tcBorders>
              <w:top w:val="single" w:sz="4" w:space="0" w:color="auto"/>
              <w:left w:val="single" w:sz="4" w:space="0" w:color="auto"/>
              <w:bottom w:val="single" w:sz="4" w:space="0" w:color="auto"/>
              <w:right w:val="single" w:sz="4" w:space="0" w:color="auto"/>
            </w:tcBorders>
          </w:tcPr>
          <w:p w14:paraId="07D3E5BD" w14:textId="77777777" w:rsidR="00095CB0" w:rsidRPr="00095CB0" w:rsidRDefault="00095CB0" w:rsidP="00095CB0">
            <w:pPr>
              <w:numPr>
                <w:ilvl w:val="0"/>
                <w:numId w:val="1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liczy w przód i w tył od danej liczby po 1</w:t>
            </w:r>
          </w:p>
          <w:p w14:paraId="672133D6" w14:textId="77777777" w:rsidR="00095CB0" w:rsidRPr="00095CB0" w:rsidRDefault="00095CB0" w:rsidP="00095CB0">
            <w:pPr>
              <w:numPr>
                <w:ilvl w:val="0"/>
                <w:numId w:val="1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waży przedmioty używając kilogram, dekagram, gram</w:t>
            </w:r>
          </w:p>
          <w:p w14:paraId="7FCE9113"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p>
        </w:tc>
      </w:tr>
      <w:tr w:rsidR="00095CB0" w:rsidRPr="00095CB0" w14:paraId="510DBD3D" w14:textId="77777777" w:rsidTr="00095CB0">
        <w:trPr>
          <w:trHeight w:val="2017"/>
        </w:trPr>
        <w:tc>
          <w:tcPr>
            <w:tcW w:w="1384" w:type="dxa"/>
            <w:tcBorders>
              <w:top w:val="single" w:sz="4" w:space="0" w:color="auto"/>
              <w:left w:val="single" w:sz="4" w:space="0" w:color="auto"/>
              <w:bottom w:val="single" w:sz="4" w:space="0" w:color="auto"/>
              <w:right w:val="single" w:sz="4" w:space="0" w:color="auto"/>
            </w:tcBorders>
            <w:hideMark/>
          </w:tcPr>
          <w:p w14:paraId="51A1DE7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Świadectwo dojrzałości (matura)</w:t>
            </w:r>
          </w:p>
        </w:tc>
        <w:tc>
          <w:tcPr>
            <w:tcW w:w="2835" w:type="dxa"/>
            <w:tcBorders>
              <w:top w:val="single" w:sz="4" w:space="0" w:color="auto"/>
              <w:left w:val="single" w:sz="4" w:space="0" w:color="auto"/>
              <w:bottom w:val="single" w:sz="4" w:space="0" w:color="auto"/>
              <w:right w:val="single" w:sz="4" w:space="0" w:color="auto"/>
            </w:tcBorders>
            <w:hideMark/>
          </w:tcPr>
          <w:p w14:paraId="49DF42E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Nowa podstawa programowa</w:t>
            </w:r>
          </w:p>
          <w:p w14:paraId="15169E6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Geografia – liceum (zakres podstawowy)</w:t>
            </w:r>
          </w:p>
        </w:tc>
        <w:tc>
          <w:tcPr>
            <w:tcW w:w="4843" w:type="dxa"/>
            <w:tcBorders>
              <w:top w:val="single" w:sz="4" w:space="0" w:color="auto"/>
              <w:left w:val="single" w:sz="4" w:space="0" w:color="auto"/>
              <w:bottom w:val="single" w:sz="4" w:space="0" w:color="auto"/>
              <w:right w:val="single" w:sz="4" w:space="0" w:color="auto"/>
            </w:tcBorders>
            <w:hideMark/>
          </w:tcPr>
          <w:p w14:paraId="1FC82413" w14:textId="77777777" w:rsidR="00095CB0" w:rsidRPr="00095CB0" w:rsidRDefault="00095CB0" w:rsidP="00095CB0">
            <w:pPr>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wyjaśnia na czym polegają zmiany na rynku pracy w skali globalnej, regionalnej i wynikające z rozwoju technologii informacyjno-komunikacyjnych</w:t>
            </w:r>
          </w:p>
          <w:p w14:paraId="5C1C9F07" w14:textId="77777777" w:rsidR="00095CB0" w:rsidRPr="00095CB0" w:rsidRDefault="00095CB0" w:rsidP="00095CB0">
            <w:pPr>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dokonuje oceny zjawiska uzależnienia produkcji energii na świecie od źródeł zaopatrzenia surowców nieodnawialnych, potrafi wyjaśnić twierdzenie „ropa rządzi światem”</w:t>
            </w:r>
          </w:p>
        </w:tc>
      </w:tr>
    </w:tbl>
    <w:p w14:paraId="1721A40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p>
    <w:p w14:paraId="009D81D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lastRenderedPageBreak/>
        <w:t>Przykłady  zestawów efektów uczenia się i kryteriów ich weryfikacji, oparte na pilotażowych opisach kwalifikacji opracowanych w projekcie przygotowującym wdrożenia krajowego systemu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741"/>
        <w:gridCol w:w="1700"/>
        <w:gridCol w:w="3810"/>
      </w:tblGrid>
      <w:tr w:rsidR="00095CB0" w:rsidRPr="00095CB0" w14:paraId="35A39A57" w14:textId="77777777" w:rsidTr="00095CB0">
        <w:trPr>
          <w:trHeight w:val="665"/>
        </w:trPr>
        <w:tc>
          <w:tcPr>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B204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b/>
                <w:color w:val="auto"/>
                <w:lang w:eastAsia="en-US"/>
              </w:rPr>
              <w:t>Kwalifikacja</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0F67E"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b/>
                <w:color w:val="auto"/>
                <w:lang w:eastAsia="en-US"/>
              </w:rPr>
              <w:t>Źródło informacji nt. kwalifikacji i efektów uczenia się</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DD0A6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Efekty uczenia się da wybranego zestawu danej kwalifikacji</w:t>
            </w:r>
          </w:p>
        </w:tc>
        <w:tc>
          <w:tcPr>
            <w:tcW w:w="3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4E7F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Kryteria weryfikacji przypisane danym efektom uczenia się</w:t>
            </w:r>
          </w:p>
        </w:tc>
      </w:tr>
      <w:tr w:rsidR="00095CB0" w:rsidRPr="00095CB0" w14:paraId="0D7CE9D5" w14:textId="77777777" w:rsidTr="00095CB0">
        <w:trPr>
          <w:trHeight w:val="1005"/>
        </w:trPr>
        <w:tc>
          <w:tcPr>
            <w:tcW w:w="1839" w:type="dxa"/>
            <w:vMerge w:val="restart"/>
            <w:tcBorders>
              <w:top w:val="single" w:sz="4" w:space="0" w:color="auto"/>
              <w:left w:val="single" w:sz="4" w:space="0" w:color="auto"/>
              <w:bottom w:val="single" w:sz="4" w:space="0" w:color="auto"/>
              <w:right w:val="single" w:sz="4" w:space="0" w:color="auto"/>
            </w:tcBorders>
            <w:hideMark/>
          </w:tcPr>
          <w:p w14:paraId="6064CA8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Planowanie i realizacja animacji czasu wolnego</w:t>
            </w:r>
          </w:p>
          <w:p w14:paraId="15B99AF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(zestaw: Realizacja imprezy)</w:t>
            </w:r>
          </w:p>
        </w:tc>
        <w:tc>
          <w:tcPr>
            <w:tcW w:w="1741" w:type="dxa"/>
            <w:vMerge w:val="restart"/>
            <w:tcBorders>
              <w:top w:val="single" w:sz="4" w:space="0" w:color="auto"/>
              <w:left w:val="single" w:sz="4" w:space="0" w:color="auto"/>
              <w:bottom w:val="single" w:sz="4" w:space="0" w:color="auto"/>
              <w:right w:val="single" w:sz="4" w:space="0" w:color="auto"/>
            </w:tcBorders>
            <w:hideMark/>
          </w:tcPr>
          <w:p w14:paraId="0C7AE95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Projekt kwalifikacji*</w:t>
            </w:r>
          </w:p>
        </w:tc>
        <w:tc>
          <w:tcPr>
            <w:tcW w:w="1672" w:type="dxa"/>
            <w:tcBorders>
              <w:top w:val="single" w:sz="4" w:space="0" w:color="auto"/>
              <w:left w:val="single" w:sz="4" w:space="0" w:color="auto"/>
              <w:bottom w:val="single" w:sz="4" w:space="0" w:color="auto"/>
              <w:right w:val="single" w:sz="4" w:space="0" w:color="auto"/>
            </w:tcBorders>
            <w:hideMark/>
          </w:tcPr>
          <w:p w14:paraId="6256B93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Realizuje program imprezy</w:t>
            </w:r>
          </w:p>
        </w:tc>
        <w:tc>
          <w:tcPr>
            <w:tcW w:w="3810" w:type="dxa"/>
            <w:tcBorders>
              <w:top w:val="single" w:sz="4" w:space="0" w:color="auto"/>
              <w:left w:val="single" w:sz="4" w:space="0" w:color="auto"/>
              <w:bottom w:val="single" w:sz="4" w:space="0" w:color="auto"/>
              <w:right w:val="single" w:sz="4" w:space="0" w:color="auto"/>
            </w:tcBorders>
            <w:hideMark/>
          </w:tcPr>
          <w:p w14:paraId="340C9AE5" w14:textId="77777777" w:rsidR="00095CB0" w:rsidRPr="00095CB0" w:rsidRDefault="00095CB0" w:rsidP="00095CB0">
            <w:pPr>
              <w:numPr>
                <w:ilvl w:val="0"/>
                <w:numId w:val="19"/>
              </w:numPr>
              <w:pBdr>
                <w:top w:val="none" w:sz="0" w:space="0" w:color="auto"/>
                <w:left w:val="none" w:sz="0" w:space="0" w:color="auto"/>
                <w:bottom w:val="none" w:sz="0" w:space="0" w:color="auto"/>
                <w:right w:val="none" w:sz="0" w:space="0" w:color="auto"/>
                <w:between w:val="none" w:sz="0" w:space="0" w:color="auto"/>
              </w:pBdr>
              <w:spacing w:after="120" w:line="240" w:lineRule="auto"/>
              <w:ind w:left="317" w:hanging="284"/>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Dostosowuje sposób realizacji imprezy do oczekiwań i możliwości uczestników </w:t>
            </w:r>
          </w:p>
          <w:p w14:paraId="629F1F34" w14:textId="77777777" w:rsidR="00095CB0" w:rsidRPr="00095CB0" w:rsidRDefault="00095CB0" w:rsidP="00095CB0">
            <w:pPr>
              <w:numPr>
                <w:ilvl w:val="0"/>
                <w:numId w:val="19"/>
              </w:numPr>
              <w:pBdr>
                <w:top w:val="none" w:sz="0" w:space="0" w:color="auto"/>
                <w:left w:val="none" w:sz="0" w:space="0" w:color="auto"/>
                <w:bottom w:val="none" w:sz="0" w:space="0" w:color="auto"/>
                <w:right w:val="none" w:sz="0" w:space="0" w:color="auto"/>
                <w:between w:val="none" w:sz="0" w:space="0" w:color="auto"/>
              </w:pBdr>
              <w:spacing w:after="120" w:line="240" w:lineRule="auto"/>
              <w:ind w:left="317" w:hanging="284"/>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Zapewnia świadczenia zastępcze w przypadku braku możliwości realizacji programu</w:t>
            </w:r>
          </w:p>
        </w:tc>
      </w:tr>
      <w:tr w:rsidR="00095CB0" w:rsidRPr="00095CB0" w14:paraId="08DA1F06" w14:textId="77777777" w:rsidTr="00095CB0">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33EFD"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422A3"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lang w:eastAsia="en-US"/>
              </w:rPr>
            </w:pPr>
          </w:p>
        </w:tc>
        <w:tc>
          <w:tcPr>
            <w:tcW w:w="1672" w:type="dxa"/>
            <w:tcBorders>
              <w:top w:val="single" w:sz="4" w:space="0" w:color="auto"/>
              <w:left w:val="single" w:sz="4" w:space="0" w:color="auto"/>
              <w:bottom w:val="single" w:sz="4" w:space="0" w:color="auto"/>
              <w:right w:val="single" w:sz="4" w:space="0" w:color="auto"/>
            </w:tcBorders>
            <w:hideMark/>
          </w:tcPr>
          <w:p w14:paraId="4E219FEE"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Sprawuje opiekę nad uczestnikami imprezy</w:t>
            </w:r>
          </w:p>
        </w:tc>
        <w:tc>
          <w:tcPr>
            <w:tcW w:w="3810" w:type="dxa"/>
            <w:tcBorders>
              <w:top w:val="single" w:sz="4" w:space="0" w:color="auto"/>
              <w:left w:val="single" w:sz="4" w:space="0" w:color="auto"/>
              <w:bottom w:val="single" w:sz="4" w:space="0" w:color="auto"/>
              <w:right w:val="single" w:sz="4" w:space="0" w:color="auto"/>
            </w:tcBorders>
            <w:hideMark/>
          </w:tcPr>
          <w:p w14:paraId="7B0149B2" w14:textId="77777777" w:rsidR="00095CB0" w:rsidRPr="00095CB0" w:rsidRDefault="00095CB0" w:rsidP="00095CB0">
            <w:pPr>
              <w:numPr>
                <w:ilvl w:val="0"/>
                <w:numId w:val="19"/>
              </w:numPr>
              <w:pBdr>
                <w:top w:val="none" w:sz="0" w:space="0" w:color="auto"/>
                <w:left w:val="none" w:sz="0" w:space="0" w:color="auto"/>
                <w:bottom w:val="none" w:sz="0" w:space="0" w:color="auto"/>
                <w:right w:val="none" w:sz="0" w:space="0" w:color="auto"/>
                <w:between w:val="none" w:sz="0" w:space="0" w:color="auto"/>
              </w:pBdr>
              <w:spacing w:after="120" w:line="240" w:lineRule="auto"/>
              <w:ind w:left="317" w:hanging="284"/>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Prezentuje procedury postępowania w sytuacjach niebezpiecznych</w:t>
            </w:r>
          </w:p>
          <w:p w14:paraId="7B752281" w14:textId="77777777" w:rsidR="00095CB0" w:rsidRPr="00095CB0" w:rsidRDefault="00095CB0" w:rsidP="00095CB0">
            <w:pPr>
              <w:numPr>
                <w:ilvl w:val="0"/>
                <w:numId w:val="19"/>
              </w:numPr>
              <w:pBdr>
                <w:top w:val="none" w:sz="0" w:space="0" w:color="auto"/>
                <w:left w:val="none" w:sz="0" w:space="0" w:color="auto"/>
                <w:bottom w:val="none" w:sz="0" w:space="0" w:color="auto"/>
                <w:right w:val="none" w:sz="0" w:space="0" w:color="auto"/>
                <w:between w:val="none" w:sz="0" w:space="0" w:color="auto"/>
              </w:pBdr>
              <w:spacing w:after="120" w:line="240" w:lineRule="auto"/>
              <w:ind w:left="317" w:hanging="284"/>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Stosuje przepisy prawa dotyczące zapewnienia uczestnikom imprezy bezpieczeństwa</w:t>
            </w:r>
          </w:p>
          <w:p w14:paraId="57B99DFB" w14:textId="77777777" w:rsidR="00095CB0" w:rsidRPr="00095CB0" w:rsidRDefault="00095CB0" w:rsidP="00095CB0">
            <w:pPr>
              <w:numPr>
                <w:ilvl w:val="0"/>
                <w:numId w:val="19"/>
              </w:numPr>
              <w:pBdr>
                <w:top w:val="none" w:sz="0" w:space="0" w:color="auto"/>
                <w:left w:val="none" w:sz="0" w:space="0" w:color="auto"/>
                <w:bottom w:val="none" w:sz="0" w:space="0" w:color="auto"/>
                <w:right w:val="none" w:sz="0" w:space="0" w:color="auto"/>
                <w:between w:val="none" w:sz="0" w:space="0" w:color="auto"/>
              </w:pBdr>
              <w:spacing w:after="120" w:line="240" w:lineRule="auto"/>
              <w:ind w:left="317" w:hanging="284"/>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Prezentuje różnorodne sposoby rozwiązywania sytuacji problemowych</w:t>
            </w:r>
          </w:p>
          <w:p w14:paraId="06EE8E6A" w14:textId="77777777" w:rsidR="00095CB0" w:rsidRPr="00095CB0" w:rsidRDefault="00095CB0" w:rsidP="00095CB0">
            <w:pPr>
              <w:numPr>
                <w:ilvl w:val="0"/>
                <w:numId w:val="19"/>
              </w:numPr>
              <w:pBdr>
                <w:top w:val="none" w:sz="0" w:space="0" w:color="auto"/>
                <w:left w:val="none" w:sz="0" w:space="0" w:color="auto"/>
                <w:bottom w:val="none" w:sz="0" w:space="0" w:color="auto"/>
                <w:right w:val="none" w:sz="0" w:space="0" w:color="auto"/>
                <w:between w:val="none" w:sz="0" w:space="0" w:color="auto"/>
              </w:pBdr>
              <w:spacing w:after="120" w:line="240" w:lineRule="auto"/>
              <w:ind w:left="317" w:hanging="284"/>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Udziela uczestnikom imprezy niezbędnej pomocy zgodnie z obowiązującymi przepisami i zasadami etyki zawodowej</w:t>
            </w:r>
          </w:p>
        </w:tc>
      </w:tr>
      <w:tr w:rsidR="00095CB0" w:rsidRPr="00095CB0" w14:paraId="07D0B162" w14:textId="77777777" w:rsidTr="00095CB0">
        <w:trPr>
          <w:trHeight w:val="1155"/>
        </w:trPr>
        <w:tc>
          <w:tcPr>
            <w:tcW w:w="1839" w:type="dxa"/>
            <w:vMerge w:val="restart"/>
            <w:tcBorders>
              <w:top w:val="single" w:sz="4" w:space="0" w:color="auto"/>
              <w:left w:val="single" w:sz="4" w:space="0" w:color="auto"/>
              <w:bottom w:val="single" w:sz="4" w:space="0" w:color="auto"/>
              <w:right w:val="single" w:sz="4" w:space="0" w:color="auto"/>
            </w:tcBorders>
            <w:hideMark/>
          </w:tcPr>
          <w:p w14:paraId="32E4EA9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Konserwowanie nadwozia pojazdów samochodowych</w:t>
            </w:r>
          </w:p>
          <w:p w14:paraId="130892A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(zestaw: Przygotowanie do realizacji usługi mycia i konserwacji nadwozia)</w:t>
            </w:r>
          </w:p>
        </w:tc>
        <w:tc>
          <w:tcPr>
            <w:tcW w:w="1741" w:type="dxa"/>
            <w:vMerge w:val="restart"/>
            <w:tcBorders>
              <w:top w:val="single" w:sz="4" w:space="0" w:color="auto"/>
              <w:left w:val="single" w:sz="4" w:space="0" w:color="auto"/>
              <w:bottom w:val="single" w:sz="4" w:space="0" w:color="auto"/>
              <w:right w:val="single" w:sz="4" w:space="0" w:color="auto"/>
            </w:tcBorders>
            <w:hideMark/>
          </w:tcPr>
          <w:p w14:paraId="4AEEC47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Projekt kwalifikacji*</w:t>
            </w:r>
          </w:p>
        </w:tc>
        <w:tc>
          <w:tcPr>
            <w:tcW w:w="1672" w:type="dxa"/>
            <w:tcBorders>
              <w:top w:val="single" w:sz="4" w:space="0" w:color="auto"/>
              <w:left w:val="single" w:sz="4" w:space="0" w:color="auto"/>
              <w:bottom w:val="single" w:sz="4" w:space="0" w:color="auto"/>
              <w:right w:val="single" w:sz="4" w:space="0" w:color="auto"/>
            </w:tcBorders>
            <w:hideMark/>
          </w:tcPr>
          <w:p w14:paraId="44F3109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Konsultuje z klientem zakres mycia i konserwacji nadwozia pojazdu</w:t>
            </w:r>
          </w:p>
        </w:tc>
        <w:tc>
          <w:tcPr>
            <w:tcW w:w="3810" w:type="dxa"/>
            <w:tcBorders>
              <w:top w:val="single" w:sz="4" w:space="0" w:color="auto"/>
              <w:left w:val="single" w:sz="4" w:space="0" w:color="auto"/>
              <w:bottom w:val="single" w:sz="4" w:space="0" w:color="auto"/>
              <w:right w:val="single" w:sz="4" w:space="0" w:color="auto"/>
            </w:tcBorders>
            <w:hideMark/>
          </w:tcPr>
          <w:p w14:paraId="3BD0867D" w14:textId="77777777" w:rsidR="00095CB0" w:rsidRPr="00095CB0" w:rsidRDefault="00095CB0" w:rsidP="00095CB0">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40" w:lineRule="auto"/>
              <w:ind w:left="358"/>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Określa zakres mycia i konserwacji nadwozia pojazdu</w:t>
            </w:r>
          </w:p>
          <w:p w14:paraId="49C43922" w14:textId="77777777" w:rsidR="00095CB0" w:rsidRPr="00095CB0" w:rsidRDefault="00095CB0" w:rsidP="00095CB0">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40" w:lineRule="auto"/>
              <w:ind w:left="358"/>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Przyjmuje zamówienie na usługę mycia i konserwacji</w:t>
            </w:r>
          </w:p>
        </w:tc>
      </w:tr>
      <w:tr w:rsidR="00095CB0" w:rsidRPr="00095CB0" w14:paraId="66F97069" w14:textId="77777777" w:rsidTr="00095CB0">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1C2E2"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E407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lang w:eastAsia="en-US"/>
              </w:rPr>
            </w:pPr>
          </w:p>
        </w:tc>
        <w:tc>
          <w:tcPr>
            <w:tcW w:w="1672" w:type="dxa"/>
            <w:tcBorders>
              <w:top w:val="single" w:sz="4" w:space="0" w:color="auto"/>
              <w:left w:val="single" w:sz="4" w:space="0" w:color="auto"/>
              <w:bottom w:val="single" w:sz="4" w:space="0" w:color="auto"/>
              <w:right w:val="single" w:sz="4" w:space="0" w:color="auto"/>
            </w:tcBorders>
            <w:hideMark/>
          </w:tcPr>
          <w:p w14:paraId="59CC633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Dobiera środki, urządzenia i technologie wykorzystywane podczas mycia i konserwacji nadwozia pojazdu</w:t>
            </w:r>
          </w:p>
        </w:tc>
        <w:tc>
          <w:tcPr>
            <w:tcW w:w="3810" w:type="dxa"/>
            <w:tcBorders>
              <w:top w:val="single" w:sz="4" w:space="0" w:color="auto"/>
              <w:left w:val="single" w:sz="4" w:space="0" w:color="auto"/>
              <w:bottom w:val="single" w:sz="4" w:space="0" w:color="auto"/>
              <w:right w:val="single" w:sz="4" w:space="0" w:color="auto"/>
            </w:tcBorders>
            <w:hideMark/>
          </w:tcPr>
          <w:p w14:paraId="1106CEC2" w14:textId="77777777" w:rsidR="00095CB0" w:rsidRPr="00095CB0" w:rsidRDefault="00095CB0" w:rsidP="00095CB0">
            <w:pPr>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ind w:left="361"/>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Dobiera technologię mycia i konserwacji poszczególnych elementów nadwozia pojazdu</w:t>
            </w:r>
          </w:p>
          <w:p w14:paraId="4D36AE89" w14:textId="77777777" w:rsidR="00095CB0" w:rsidRPr="00095CB0" w:rsidRDefault="00095CB0" w:rsidP="00095CB0">
            <w:pPr>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ind w:left="361"/>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Rozpoznaje lakiery stosowane na nadwoziach pojazdów</w:t>
            </w:r>
          </w:p>
          <w:p w14:paraId="45D2913D" w14:textId="77777777" w:rsidR="00095CB0" w:rsidRPr="00095CB0" w:rsidRDefault="00095CB0" w:rsidP="00095CB0">
            <w:pPr>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ind w:left="361"/>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Rozpoznaje materiały z których wykonane są zderzaki, lusterka, listwy boczne</w:t>
            </w:r>
          </w:p>
          <w:p w14:paraId="3A1AB856" w14:textId="77777777" w:rsidR="00095CB0" w:rsidRPr="00095CB0" w:rsidRDefault="00095CB0" w:rsidP="00095CB0">
            <w:pPr>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ind w:left="361"/>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Dobiera urządzenia wykorzystywane podczas mycia i konserwacji nadwozia pojazdu</w:t>
            </w:r>
          </w:p>
          <w:p w14:paraId="2E1E99A7" w14:textId="77777777" w:rsidR="00095CB0" w:rsidRPr="00095CB0" w:rsidRDefault="00095CB0" w:rsidP="00095CB0">
            <w:pPr>
              <w:numPr>
                <w:ilvl w:val="0"/>
                <w:numId w:val="21"/>
              </w:numPr>
              <w:pBdr>
                <w:top w:val="none" w:sz="0" w:space="0" w:color="auto"/>
                <w:left w:val="none" w:sz="0" w:space="0" w:color="auto"/>
                <w:bottom w:val="none" w:sz="0" w:space="0" w:color="auto"/>
                <w:right w:val="none" w:sz="0" w:space="0" w:color="auto"/>
                <w:between w:val="none" w:sz="0" w:space="0" w:color="auto"/>
              </w:pBdr>
              <w:spacing w:after="120" w:line="240" w:lineRule="auto"/>
              <w:ind w:left="361"/>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Dobiera środki stosowane do mycia i konserwacji nadwozia pojazdu</w:t>
            </w:r>
          </w:p>
        </w:tc>
      </w:tr>
      <w:tr w:rsidR="00095CB0" w:rsidRPr="00095CB0" w14:paraId="5CB01796" w14:textId="77777777" w:rsidTr="00095CB0">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56B2"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CA96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color w:val="auto"/>
                <w:lang w:eastAsia="en-US"/>
              </w:rPr>
            </w:pPr>
          </w:p>
        </w:tc>
        <w:tc>
          <w:tcPr>
            <w:tcW w:w="1672" w:type="dxa"/>
            <w:tcBorders>
              <w:top w:val="single" w:sz="4" w:space="0" w:color="auto"/>
              <w:left w:val="single" w:sz="4" w:space="0" w:color="auto"/>
              <w:bottom w:val="single" w:sz="4" w:space="0" w:color="auto"/>
              <w:right w:val="single" w:sz="4" w:space="0" w:color="auto"/>
            </w:tcBorders>
            <w:hideMark/>
          </w:tcPr>
          <w:p w14:paraId="4EBAC95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Określa koszty wykonania usługi</w:t>
            </w:r>
          </w:p>
        </w:tc>
        <w:tc>
          <w:tcPr>
            <w:tcW w:w="3810" w:type="dxa"/>
            <w:tcBorders>
              <w:top w:val="single" w:sz="4" w:space="0" w:color="auto"/>
              <w:left w:val="single" w:sz="4" w:space="0" w:color="auto"/>
              <w:bottom w:val="single" w:sz="4" w:space="0" w:color="auto"/>
              <w:right w:val="single" w:sz="4" w:space="0" w:color="auto"/>
            </w:tcBorders>
            <w:hideMark/>
          </w:tcPr>
          <w:p w14:paraId="6ECB56BD" w14:textId="77777777" w:rsidR="00095CB0" w:rsidRPr="00095CB0" w:rsidRDefault="00095CB0" w:rsidP="00095CB0">
            <w:pPr>
              <w:numPr>
                <w:ilvl w:val="0"/>
                <w:numId w:val="22"/>
              </w:numPr>
              <w:pBdr>
                <w:top w:val="none" w:sz="0" w:space="0" w:color="auto"/>
                <w:left w:val="none" w:sz="0" w:space="0" w:color="auto"/>
                <w:bottom w:val="none" w:sz="0" w:space="0" w:color="auto"/>
                <w:right w:val="none" w:sz="0" w:space="0" w:color="auto"/>
                <w:between w:val="none" w:sz="0" w:space="0" w:color="auto"/>
              </w:pBdr>
              <w:spacing w:after="120" w:line="240" w:lineRule="auto"/>
              <w:ind w:left="359"/>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Określa na podstawie cennika koszty mycia i konserwacji nadwozia pojazdu</w:t>
            </w:r>
          </w:p>
          <w:p w14:paraId="09CB70B9" w14:textId="77777777" w:rsidR="00095CB0" w:rsidRPr="00095CB0" w:rsidRDefault="00095CB0" w:rsidP="00095CB0">
            <w:pPr>
              <w:numPr>
                <w:ilvl w:val="0"/>
                <w:numId w:val="22"/>
              </w:numPr>
              <w:pBdr>
                <w:top w:val="none" w:sz="0" w:space="0" w:color="auto"/>
                <w:left w:val="none" w:sz="0" w:space="0" w:color="auto"/>
                <w:bottom w:val="none" w:sz="0" w:space="0" w:color="auto"/>
                <w:right w:val="none" w:sz="0" w:space="0" w:color="auto"/>
                <w:between w:val="none" w:sz="0" w:space="0" w:color="auto"/>
              </w:pBdr>
              <w:spacing w:after="120" w:line="240" w:lineRule="auto"/>
              <w:ind w:left="359"/>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Sporządza rachunek za wykonaną usługę mycia i konserwacji</w:t>
            </w:r>
          </w:p>
        </w:tc>
      </w:tr>
    </w:tbl>
    <w:p w14:paraId="6A85C00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Projekty kwalifikacji przygotowane w ramach projektu „Opracowanie założeń merytorycznych i instytucjonalnych wdrażania Krajowych Ram Kwalifikacji oraz Krajowego Rejestru Kwalifikacji na rzecz uczenia się przez całe życie".</w:t>
      </w:r>
    </w:p>
    <w:p w14:paraId="282524B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b/>
          <w:color w:val="auto"/>
          <w:lang w:eastAsia="en-US"/>
        </w:rPr>
        <w:t>Walidacja</w:t>
      </w:r>
      <w:r w:rsidRPr="00095CB0">
        <w:rPr>
          <w:rFonts w:asciiTheme="minorHAnsi" w:hAnsiTheme="minorHAnsi" w:cstheme="minorHAnsi"/>
          <w:color w:val="auto"/>
          <w:lang w:eastAsia="en-US"/>
        </w:rPr>
        <w:t xml:space="preserve"> to wieloetapowy proces sprawdzania, czy – niezależnie od sposobu uczenia się – efekty uczenia się wymagane dla danej kwalifikacji zostały osiągnięte. Walidacja poprzedza certyfikowanie. Walidacja obejmuje </w:t>
      </w:r>
      <w:r w:rsidRPr="00095CB0">
        <w:rPr>
          <w:rFonts w:asciiTheme="minorHAnsi" w:hAnsiTheme="minorHAnsi" w:cstheme="minorHAnsi"/>
          <w:color w:val="auto"/>
          <w:u w:val="single"/>
          <w:lang w:eastAsia="en-US"/>
        </w:rPr>
        <w:t>identyfikację</w:t>
      </w:r>
      <w:r w:rsidRPr="00095CB0">
        <w:rPr>
          <w:rFonts w:asciiTheme="minorHAnsi" w:hAnsiTheme="minorHAnsi" w:cstheme="minorHAnsi"/>
          <w:color w:val="auto"/>
          <w:lang w:eastAsia="en-US"/>
        </w:rPr>
        <w:t xml:space="preserve"> i </w:t>
      </w:r>
      <w:r w:rsidRPr="00095CB0">
        <w:rPr>
          <w:rFonts w:asciiTheme="minorHAnsi" w:hAnsiTheme="minorHAnsi" w:cstheme="minorHAnsi"/>
          <w:color w:val="auto"/>
          <w:u w:val="single"/>
          <w:lang w:eastAsia="en-US"/>
        </w:rPr>
        <w:t>dokumentację</w:t>
      </w:r>
      <w:r w:rsidRPr="00095CB0">
        <w:rPr>
          <w:rFonts w:asciiTheme="minorHAnsi" w:hAnsiTheme="minorHAnsi" w:cstheme="minorHAnsi"/>
          <w:color w:val="auto"/>
          <w:lang w:eastAsia="en-US"/>
        </w:rPr>
        <w:t xml:space="preserve"> posiadanych efektów uczenia się oraz ich </w:t>
      </w:r>
      <w:r w:rsidRPr="00095CB0">
        <w:rPr>
          <w:rFonts w:asciiTheme="minorHAnsi" w:hAnsiTheme="minorHAnsi" w:cstheme="minorHAnsi"/>
          <w:color w:val="auto"/>
          <w:u w:val="single"/>
          <w:lang w:eastAsia="en-US"/>
        </w:rPr>
        <w:t>weryfikację</w:t>
      </w:r>
      <w:r w:rsidRPr="00095CB0">
        <w:rPr>
          <w:rFonts w:asciiTheme="minorHAnsi" w:hAnsiTheme="minorHAnsi" w:cstheme="minorHAnsi"/>
          <w:color w:val="auto"/>
          <w:lang w:eastAsia="en-US"/>
        </w:rPr>
        <w:t xml:space="preserve"> w odniesieniu do wymagań określonych dla kwalifikacji. Walidacja powinna być prowadzona w sposób </w:t>
      </w:r>
      <w:r w:rsidRPr="00095CB0">
        <w:rPr>
          <w:rFonts w:asciiTheme="minorHAnsi" w:hAnsiTheme="minorHAnsi" w:cstheme="minorHAnsi"/>
          <w:color w:val="auto"/>
          <w:u w:val="single"/>
          <w:lang w:eastAsia="en-US"/>
        </w:rPr>
        <w:t>trafny</w:t>
      </w:r>
      <w:r w:rsidRPr="00095CB0">
        <w:rPr>
          <w:rFonts w:asciiTheme="minorHAnsi" w:hAnsiTheme="minorHAnsi" w:cstheme="minorHAnsi"/>
          <w:color w:val="auto"/>
          <w:lang w:eastAsia="en-US"/>
        </w:rPr>
        <w:t xml:space="preserve"> (weryfikowane są te efekty uczenia się, które zostały określone dla danej kwalifikacji) i </w:t>
      </w:r>
      <w:r w:rsidRPr="00095CB0">
        <w:rPr>
          <w:rFonts w:asciiTheme="minorHAnsi" w:hAnsiTheme="minorHAnsi" w:cstheme="minorHAnsi"/>
          <w:color w:val="auto"/>
          <w:u w:val="single"/>
          <w:lang w:eastAsia="en-US"/>
        </w:rPr>
        <w:t>rzetelny</w:t>
      </w:r>
      <w:r w:rsidRPr="00095CB0">
        <w:rPr>
          <w:rFonts w:asciiTheme="minorHAnsi" w:hAnsiTheme="minorHAnsi" w:cstheme="minorHAnsi"/>
          <w:color w:val="auto"/>
          <w:lang w:eastAsia="en-US"/>
        </w:rPr>
        <w:t xml:space="preserve"> (wynik weryfikacji jest niezależny od miejsca, czasu, metod oraz osób przeprowadzających walidację). Walidację wieńczy podjęcie i wydanie decyzji, jakie efekty uczenia się można potwierdzić, jakie zaś nie. </w:t>
      </w:r>
    </w:p>
    <w:p w14:paraId="33FE353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b/>
          <w:color w:val="auto"/>
          <w:lang w:eastAsia="en-US"/>
        </w:rPr>
        <w:t>Certyfikowanie</w:t>
      </w:r>
      <w:r w:rsidRPr="00095CB0">
        <w:rPr>
          <w:rFonts w:asciiTheme="minorHAnsi" w:hAnsiTheme="minorHAnsi" w:cstheme="minorHAnsi"/>
          <w:color w:val="auto"/>
          <w:lang w:eastAsia="en-US"/>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 inne dokumenty potwierdzające uzyskanie kwalifikacji powinny być </w:t>
      </w:r>
      <w:r w:rsidRPr="00095CB0">
        <w:rPr>
          <w:rFonts w:asciiTheme="minorHAnsi" w:hAnsiTheme="minorHAnsi" w:cstheme="minorHAnsi"/>
          <w:b/>
          <w:color w:val="auto"/>
          <w:lang w:eastAsia="en-US"/>
        </w:rPr>
        <w:t>rozpoznawalne</w:t>
      </w:r>
      <w:r w:rsidRPr="00095CB0">
        <w:rPr>
          <w:rFonts w:asciiTheme="minorHAnsi" w:hAnsiTheme="minorHAnsi" w:cstheme="minorHAnsi"/>
          <w:color w:val="auto"/>
          <w:lang w:eastAsia="en-US"/>
        </w:rPr>
        <w:t xml:space="preserve"> i </w:t>
      </w:r>
      <w:r w:rsidRPr="00095CB0">
        <w:rPr>
          <w:rFonts w:asciiTheme="minorHAnsi" w:hAnsiTheme="minorHAnsi" w:cstheme="minorHAnsi"/>
          <w:b/>
          <w:color w:val="auto"/>
          <w:lang w:eastAsia="en-US"/>
        </w:rPr>
        <w:t>uznawane</w:t>
      </w:r>
      <w:r w:rsidRPr="00095CB0">
        <w:rPr>
          <w:rFonts w:asciiTheme="minorHAnsi" w:hAnsiTheme="minorHAnsi" w:cstheme="minorHAnsi"/>
          <w:color w:val="auto"/>
          <w:lang w:eastAsia="en-US"/>
        </w:rPr>
        <w:t xml:space="preserve"> w danym  sektorze lub branży.</w:t>
      </w:r>
    </w:p>
    <w:p w14:paraId="3A4CED7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color w:val="auto"/>
          <w:lang w:eastAsia="en-US"/>
        </w:rPr>
        <w:t xml:space="preserve">Z uwagi na trwające prace nad wdrożeniem Zintegrowanego Systemu Kwalifikacji, nie jest możliwe wskazanie pełnej listy instytucji certyfikujących oraz samych kwalifikacji. Za kwalifikacje należy uznać te, które są nadawane </w:t>
      </w:r>
      <w:r w:rsidRPr="00095CB0">
        <w:rPr>
          <w:rFonts w:asciiTheme="minorHAnsi" w:hAnsiTheme="minorHAnsi" w:cstheme="minorHAnsi"/>
          <w:b/>
          <w:color w:val="auto"/>
          <w:lang w:eastAsia="en-US"/>
        </w:rPr>
        <w:t>w systemie oświaty i szkolnictwa wyższego</w:t>
      </w:r>
      <w:r w:rsidRPr="00095CB0">
        <w:rPr>
          <w:rFonts w:asciiTheme="minorHAnsi" w:hAnsiTheme="minorHAnsi" w:cstheme="minorHAnsi"/>
          <w:color w:val="auto"/>
          <w:lang w:eastAsia="en-US"/>
        </w:rPr>
        <w:t xml:space="preserve"> oraz </w:t>
      </w:r>
      <w:r w:rsidRPr="00095CB0">
        <w:rPr>
          <w:rFonts w:asciiTheme="minorHAnsi" w:hAnsiTheme="minorHAnsi" w:cstheme="minorHAnsi"/>
          <w:b/>
          <w:color w:val="auto"/>
          <w:lang w:eastAsia="en-US"/>
        </w:rPr>
        <w:t>te nadawane przez organy władz publicznych i samorządowych</w:t>
      </w:r>
      <w:r w:rsidRPr="00095CB0">
        <w:rPr>
          <w:rFonts w:asciiTheme="minorHAnsi" w:hAnsiTheme="minorHAnsi" w:cstheme="minorHAnsi"/>
          <w:color w:val="auto"/>
          <w:lang w:eastAsia="en-US"/>
        </w:rPr>
        <w:t>,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uzgodnionym z Beneficjentem. Sposób i etap dokonywania uzgodnień w zakresie uznania kwalifikacji powinien być określony przez właściwą instytucję w regulaminie konkursu lub w umowie o dofinansowanie. Dopuszcza się sytuację, w której wniosek o dofinansowanie nie precyzuje tematyki szkoleń (jest ona ustalana w trakcie realizacji projektu np. na podstawie IPD), wówczas beneficjent powinien zostać zobowiązany do dostarczenia właściwej instytucji (będącej stroną umowy) informacji stanowiącej podstawę do potwierdzenia uznania kwalifikacji, co do zasady przed rozpoczęciem szkolenia. Beneficjent projektu powinien zostać zobowiązany do dostarczenia informacji o podstawie prawnej lub innych uregulowaniach, które stanowią podstawę dla instytucji do przeprowadzenia procedury certyfikowania oraz uzasadnienie dla potwierdzenia rozpoznawalności certyfikatu w danym sektorze lub branży, w zakresie której wydane zostaną certyfikaty.</w:t>
      </w:r>
    </w:p>
    <w:p w14:paraId="343F416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Docelowym katalogiem możliwych do uzyskania w Polsce kwalifikacji będą kwalifikacje, które zostaną wpisane do Zintegrowanego Rejestru Kwalifikacji (o którym mówi </w:t>
      </w:r>
      <w:r w:rsidRPr="00095CB0">
        <w:rPr>
          <w:rFonts w:asciiTheme="minorHAnsi" w:hAnsiTheme="minorHAnsi" w:cstheme="minorHAnsi"/>
          <w:i/>
          <w:color w:val="auto"/>
          <w:lang w:eastAsia="en-US"/>
        </w:rPr>
        <w:t>ustawa o Zintegrowanym Systemie Kwalifikacji)</w:t>
      </w:r>
      <w:r w:rsidRPr="00095CB0">
        <w:rPr>
          <w:rFonts w:asciiTheme="minorHAnsi" w:hAnsiTheme="minorHAnsi" w:cstheme="minorHAnsi"/>
          <w:color w:val="auto"/>
          <w:lang w:eastAsia="en-US"/>
        </w:rPr>
        <w:t>, dla których zostanie określony poziom Polskiej Ramy Kwalifikacji. Wpis kwalifikacji do ZRK będzie możliwy po spełnieniu określonych procedur (przygotowania opisu kwalifikacji, wymagań dotyczących walidacji oraz zasad zapewniania jakości).</w:t>
      </w:r>
    </w:p>
    <w:p w14:paraId="79BBFAD4" w14:textId="77777777" w:rsidR="00095CB0" w:rsidRPr="00095CB0" w:rsidRDefault="00095CB0" w:rsidP="00095CB0">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b/>
          <w:color w:val="auto"/>
          <w:lang w:eastAsia="en-US"/>
        </w:rPr>
        <w:lastRenderedPageBreak/>
        <w:t>Możliwości uzyskiwania kwalifikacji</w:t>
      </w:r>
    </w:p>
    <w:p w14:paraId="3B9299FE" w14:textId="77777777" w:rsidR="00095CB0" w:rsidRPr="00095CB0" w:rsidRDefault="00095CB0" w:rsidP="00095CB0">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nadawane w systemie oświaty i szkolnictwa wyższego</w:t>
      </w:r>
    </w:p>
    <w:p w14:paraId="022A6C3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firstLine="360"/>
        <w:jc w:val="both"/>
        <w:rPr>
          <w:rFonts w:asciiTheme="minorHAnsi" w:hAnsiTheme="minorHAnsi" w:cstheme="minorHAnsi"/>
          <w:color w:val="auto"/>
          <w:lang w:eastAsia="en-US"/>
        </w:rPr>
      </w:pPr>
      <w:r w:rsidRPr="00095CB0">
        <w:rPr>
          <w:rFonts w:asciiTheme="minorHAnsi" w:hAnsiTheme="minorHAnsi" w:cstheme="minorHAnsi"/>
          <w:color w:val="auto"/>
          <w:lang w:eastAsia="en-US"/>
        </w:rPr>
        <w:t>Podstawą prawną regulującą uzyskiwanie kwalifikacji są:</w:t>
      </w:r>
    </w:p>
    <w:p w14:paraId="3086EDCC" w14:textId="77777777" w:rsidR="00095CB0" w:rsidRPr="00095CB0" w:rsidRDefault="00095CB0" w:rsidP="00095CB0">
      <w:pPr>
        <w:numPr>
          <w:ilvl w:val="0"/>
          <w:numId w:val="2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ustawa z dnia 7 września 1991 r. o systemie oświaty (Dz.U. 1991 nr 95 poz. 425 z późn.zm.),</w:t>
      </w:r>
    </w:p>
    <w:p w14:paraId="435D8733" w14:textId="77777777" w:rsidR="00095CB0" w:rsidRPr="00095CB0" w:rsidRDefault="00095CB0" w:rsidP="00095CB0">
      <w:pPr>
        <w:numPr>
          <w:ilvl w:val="0"/>
          <w:numId w:val="2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ustawa z dnia 27 lipca 2005 r. Prawo o szkolnictwie wyższym (Dz.U. 2005 nr 164 poz. 1365),</w:t>
      </w:r>
    </w:p>
    <w:p w14:paraId="76188312" w14:textId="77777777" w:rsidR="00095CB0" w:rsidRPr="00095CB0" w:rsidRDefault="00095CB0" w:rsidP="00095CB0">
      <w:pPr>
        <w:numPr>
          <w:ilvl w:val="0"/>
          <w:numId w:val="2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rozporządzenie Ministra Edukacji Narodowej z dnia 23 grudnia 2011 r. w sprawie klasyfikacji zawodów szkolnictwa zawodowego (Dz.U. 2012 poz. 7),</w:t>
      </w:r>
    </w:p>
    <w:p w14:paraId="256937B0" w14:textId="77777777" w:rsidR="00095CB0" w:rsidRPr="00095CB0" w:rsidRDefault="00095CB0" w:rsidP="00095CB0">
      <w:pPr>
        <w:numPr>
          <w:ilvl w:val="0"/>
          <w:numId w:val="2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heme="minorHAnsi" w:hAnsiTheme="minorHAnsi" w:cstheme="minorHAnsi"/>
          <w:color w:val="auto"/>
          <w:lang w:eastAsia="en-US"/>
        </w:rPr>
      </w:pPr>
      <w:r w:rsidRPr="00095CB0">
        <w:rPr>
          <w:rFonts w:asciiTheme="minorHAnsi" w:hAnsiTheme="minorHAnsi" w:cstheme="minorHAnsi"/>
          <w:color w:val="auto"/>
          <w:lang w:eastAsia="en-US"/>
        </w:rPr>
        <w:t>rozporządzenie Ministra Edukacji Narodowej z dnia 11 stycznia 2012 r. w sprawie kształcenia ustawicznego w formach pozaszkolnych (Dz.U. 2012 poz. 186).</w:t>
      </w:r>
    </w:p>
    <w:p w14:paraId="508A0F03"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left="360"/>
        <w:jc w:val="both"/>
        <w:rPr>
          <w:rFonts w:asciiTheme="minorHAnsi" w:hAnsiTheme="minorHAnsi" w:cstheme="minorHAnsi"/>
          <w:color w:val="auto"/>
          <w:u w:val="single"/>
          <w:lang w:eastAsia="en-US"/>
        </w:rPr>
      </w:pPr>
      <w:r w:rsidRPr="00095CB0">
        <w:rPr>
          <w:rFonts w:asciiTheme="minorHAnsi" w:hAnsiTheme="minorHAnsi" w:cstheme="minorHAnsi"/>
          <w:color w:val="auto"/>
          <w:u w:val="single"/>
          <w:lang w:eastAsia="en-US"/>
        </w:rPr>
        <w:t>Kwalifikacje w zawodzie</w:t>
      </w:r>
    </w:p>
    <w:p w14:paraId="5B6EC92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left="360"/>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 art. 68a ust. 2 pkt 2 ustawy o systemie oświaty, jak również przez instytucje rynku pracy, o których mowa w art. 6 ustawy z dnia 20 kwietnia 2004 r. o promocji zatrudnienia i rynku pracy oraz podmioty prowadzące działalność oświatową, o której mowa w art. 83a ust. 2. ustawy o systemie oświaty. Egzaminy potwierdzające kwalifikacje w zawodzie prowadzą Okręgowe Komisje Egzaminacyjne (OKE). (Wymogi dotyczące organizacji kwalifikacyjnych kursów zawodowych reguluje Rozporządzenie MEN w sprawie kształcenia ustawicznego w formach pozaszkolnych z dnia 11 stycznia 2012 r.). </w:t>
      </w:r>
    </w:p>
    <w:p w14:paraId="44276F3A" w14:textId="77777777" w:rsidR="00095CB0" w:rsidRPr="00095CB0" w:rsidRDefault="00095CB0" w:rsidP="00095CB0">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nadawane poza systemami oświaty i szkolnictwa wyższego przez organy władz publicznych i samorządów zawodowych</w:t>
      </w:r>
    </w:p>
    <w:p w14:paraId="37E2D54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left="360"/>
        <w:jc w:val="both"/>
        <w:rPr>
          <w:rFonts w:asciiTheme="minorHAnsi" w:hAnsiTheme="minorHAnsi" w:cstheme="minorHAnsi"/>
          <w:color w:val="auto"/>
          <w:lang w:eastAsia="en-US"/>
        </w:rPr>
      </w:pPr>
      <w:r w:rsidRPr="00095CB0">
        <w:rPr>
          <w:rFonts w:asciiTheme="minorHAnsi" w:hAnsiTheme="minorHAnsi" w:cstheme="minorHAnsi"/>
          <w:color w:val="auto"/>
          <w:lang w:eastAsia="en-US"/>
        </w:rPr>
        <w:t>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w:t>
      </w:r>
    </w:p>
    <w:p w14:paraId="141D743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left="360"/>
        <w:jc w:val="both"/>
        <w:rPr>
          <w:rFonts w:asciiTheme="minorHAnsi" w:hAnsiTheme="minorHAnsi" w:cstheme="minorHAnsi"/>
          <w:color w:val="auto"/>
          <w:lang w:eastAsia="en-US"/>
        </w:rPr>
      </w:pPr>
      <w:r w:rsidRPr="00095CB0">
        <w:rPr>
          <w:rFonts w:asciiTheme="minorHAnsi" w:hAnsiTheme="minorHAnsi" w:cstheme="minorHAnsi"/>
          <w:color w:val="auto"/>
          <w:lang w:eastAsia="en-US"/>
        </w:rPr>
        <w:t>Podstawą prawną regulującą uzyskiwanie kwalifikacji są ustawy lub rozporządzenia, które regulują uzyskiwanie kwalifikacji zgodnie ze wspomnianymi wcześniej przesłankami (walidacja, certyfikacja).</w:t>
      </w:r>
    </w:p>
    <w:p w14:paraId="48FF3C6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firstLine="360"/>
        <w:jc w:val="both"/>
        <w:rPr>
          <w:rFonts w:asciiTheme="minorHAnsi" w:hAnsiTheme="minorHAnsi" w:cstheme="minorHAnsi"/>
          <w:color w:val="auto"/>
          <w:u w:val="single"/>
          <w:lang w:eastAsia="en-US"/>
        </w:rPr>
      </w:pPr>
      <w:r w:rsidRPr="00095CB0">
        <w:rPr>
          <w:rFonts w:asciiTheme="minorHAnsi" w:hAnsiTheme="minorHAnsi" w:cstheme="minorHAnsi"/>
          <w:color w:val="auto"/>
          <w:u w:val="single"/>
          <w:lang w:eastAsia="en-US"/>
        </w:rPr>
        <w:t>Przygotowanie zawodowe dorosłych</w:t>
      </w:r>
    </w:p>
    <w:p w14:paraId="02BC91D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left="360"/>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Przykładem procesu prowadzącego do uzyskania kwalifikacji jest przygotowanie zawodowe dorosłych realizowane przez instytucje rynku pracy. Zgodnie z ustawą o promocji zatrudnienia </w:t>
      </w:r>
      <w:r w:rsidRPr="00095CB0">
        <w:rPr>
          <w:rFonts w:asciiTheme="minorHAnsi" w:hAnsiTheme="minorHAnsi" w:cstheme="minorHAnsi"/>
          <w:color w:val="auto"/>
          <w:lang w:eastAsia="en-US"/>
        </w:rPr>
        <w:br/>
        <w:t>i instytucjach rynku pracy (Dz.U. 2004 nr 99 poz. 1001)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1733797D" w14:textId="77777777" w:rsidR="00095CB0" w:rsidRPr="00095CB0" w:rsidRDefault="00095CB0" w:rsidP="00095CB0">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rynkowe</w:t>
      </w:r>
    </w:p>
    <w:p w14:paraId="2CC8737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left="360"/>
        <w:jc w:val="both"/>
        <w:rPr>
          <w:rFonts w:asciiTheme="minorHAnsi" w:hAnsiTheme="minorHAnsi" w:cstheme="minorHAnsi"/>
          <w:color w:val="auto"/>
          <w:lang w:eastAsia="en-US"/>
        </w:rPr>
      </w:pPr>
      <w:r w:rsidRPr="00095CB0">
        <w:rPr>
          <w:rFonts w:asciiTheme="minorHAnsi" w:hAnsiTheme="minorHAnsi" w:cstheme="minorHAnsi"/>
          <w:color w:val="auto"/>
          <w:lang w:eastAsia="en-US"/>
        </w:rPr>
        <w:lastRenderedPageBreak/>
        <w:t xml:space="preserve">Do czasu pełnego uruchomienia Zintegrowanego Rejestru Kwalifikacji można wskazać przykłady kwalifikacji spoza systemów oświaty i szkolnictwa wyższego, które </w:t>
      </w:r>
      <w:r w:rsidRPr="00095CB0">
        <w:rPr>
          <w:rFonts w:asciiTheme="minorHAnsi" w:hAnsiTheme="minorHAnsi" w:cstheme="minorHAnsi"/>
          <w:b/>
          <w:color w:val="auto"/>
          <w:lang w:eastAsia="en-US"/>
        </w:rPr>
        <w:t>mają znaczenie w określonych środowiskach działalności społecznej lub zawodowej</w:t>
      </w:r>
      <w:r w:rsidRPr="00095CB0">
        <w:rPr>
          <w:rFonts w:asciiTheme="minorHAnsi" w:hAnsiTheme="minorHAnsi" w:cstheme="minorHAnsi"/>
          <w:color w:val="auto"/>
          <w:lang w:eastAsia="en-US"/>
        </w:rPr>
        <w:t xml:space="preserve"> oraz </w:t>
      </w:r>
      <w:r w:rsidRPr="00095CB0">
        <w:rPr>
          <w:rFonts w:asciiTheme="minorHAnsi" w:hAnsiTheme="minorHAnsi" w:cstheme="minorHAnsi"/>
          <w:b/>
          <w:color w:val="auto"/>
          <w:lang w:eastAsia="en-US"/>
        </w:rPr>
        <w:t>mają stworzony własny system walidacji i certyfikowania</w:t>
      </w:r>
      <w:r w:rsidRPr="00095CB0">
        <w:rPr>
          <w:rFonts w:asciiTheme="minorHAnsi" w:hAnsiTheme="minorHAnsi" w:cstheme="minorHAnsi"/>
          <w:color w:val="auto"/>
          <w:lang w:eastAsia="en-US"/>
        </w:rPr>
        <w:t xml:space="preserve">. Ponadto pomimo braku regulacji ze strony państwa polskiego, </w:t>
      </w:r>
      <w:r w:rsidRPr="00095CB0">
        <w:rPr>
          <w:rFonts w:asciiTheme="minorHAnsi" w:hAnsiTheme="minorHAnsi" w:cstheme="minorHAnsi"/>
          <w:b/>
          <w:color w:val="auto"/>
          <w:lang w:eastAsia="en-US"/>
        </w:rPr>
        <w:t>kwalifikacjami są również certyfikaty, dla których wypracowano już system walidacji i certyfikowania efektów uczenia się na poziomie międzynarodowym.</w:t>
      </w:r>
      <w:r w:rsidRPr="00095CB0">
        <w:rPr>
          <w:rFonts w:asciiTheme="minorHAnsi" w:hAnsiTheme="minorHAnsi" w:cstheme="minorHAnsi"/>
          <w:color w:val="auto"/>
          <w:lang w:eastAsia="en-US"/>
        </w:rPr>
        <w:t xml:space="preserve">  Do takich kwalifikacji należą m.in.: </w:t>
      </w:r>
    </w:p>
    <w:p w14:paraId="2102C93E" w14:textId="77777777" w:rsidR="00095CB0" w:rsidRPr="00095CB0" w:rsidRDefault="00095CB0" w:rsidP="00095CB0">
      <w:pPr>
        <w:numPr>
          <w:ilvl w:val="0"/>
          <w:numId w:val="25"/>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finansowe</w:t>
      </w:r>
    </w:p>
    <w:p w14:paraId="02EF12AA"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Dyplomowany Pracownik Bankowy (Związek Banków Polskich);</w:t>
      </w:r>
    </w:p>
    <w:p w14:paraId="28ABADA5"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Specjalista ds. rachunkowości (Stowarzyszenie Księgowych w Polsce);</w:t>
      </w:r>
    </w:p>
    <w:p w14:paraId="5D315B06"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Certyfikat z zakresu zarządzania ryzykiem (Warszawski Instytut Bankowy);</w:t>
      </w:r>
    </w:p>
    <w:p w14:paraId="497DDBFB"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Certyfikat Dealera WIB/ACI Polska (Warszawski Instytut Bankowy);</w:t>
      </w:r>
    </w:p>
    <w:p w14:paraId="7C6D0E1D"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Certyfikat z zakresu controllingu bankowego (Warszawski Instytut Bankowy);</w:t>
      </w:r>
    </w:p>
    <w:p w14:paraId="7EC357E1"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Certyfikowany Konsultant Finansowy (Związek Banków Polskich);</w:t>
      </w:r>
    </w:p>
    <w:p w14:paraId="270F61EE"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Specjalista ds. Analizy Kredytowej (Związek Banków Polskich);</w:t>
      </w:r>
    </w:p>
    <w:p w14:paraId="142C9F6F"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certyfikaty z zakresu doradztwa finansowego, oparte na standardzie EFPA (</w:t>
      </w:r>
      <w:proofErr w:type="spellStart"/>
      <w:r w:rsidRPr="00095CB0">
        <w:rPr>
          <w:rFonts w:asciiTheme="minorHAnsi" w:hAnsiTheme="minorHAnsi" w:cstheme="minorHAnsi"/>
          <w:color w:val="auto"/>
          <w:lang w:eastAsia="en-US"/>
        </w:rPr>
        <w:t>European</w:t>
      </w:r>
      <w:proofErr w:type="spellEnd"/>
      <w:r w:rsidRPr="00095CB0">
        <w:rPr>
          <w:rFonts w:asciiTheme="minorHAnsi" w:hAnsiTheme="minorHAnsi" w:cstheme="minorHAnsi"/>
          <w:color w:val="auto"/>
          <w:lang w:eastAsia="en-US"/>
        </w:rPr>
        <w:t xml:space="preserve"> Financial Planning </w:t>
      </w:r>
      <w:proofErr w:type="spellStart"/>
      <w:r w:rsidRPr="00095CB0">
        <w:rPr>
          <w:rFonts w:asciiTheme="minorHAnsi" w:hAnsiTheme="minorHAnsi" w:cstheme="minorHAnsi"/>
          <w:color w:val="auto"/>
          <w:lang w:eastAsia="en-US"/>
        </w:rPr>
        <w:t>Association</w:t>
      </w:r>
      <w:proofErr w:type="spellEnd"/>
      <w:r w:rsidRPr="00095CB0">
        <w:rPr>
          <w:rFonts w:asciiTheme="minorHAnsi" w:hAnsiTheme="minorHAnsi" w:cstheme="minorHAnsi"/>
          <w:color w:val="auto"/>
          <w:lang w:eastAsia="en-US"/>
        </w:rPr>
        <w:t>);</w:t>
      </w:r>
    </w:p>
    <w:p w14:paraId="0EED331A"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 xml:space="preserve">Certyfikat </w:t>
      </w:r>
      <w:proofErr w:type="spellStart"/>
      <w:r w:rsidRPr="00095CB0">
        <w:rPr>
          <w:rFonts w:asciiTheme="minorHAnsi" w:hAnsiTheme="minorHAnsi" w:cstheme="minorHAnsi"/>
          <w:color w:val="auto"/>
          <w:lang w:eastAsia="en-US"/>
        </w:rPr>
        <w:t>ogólnobankowy</w:t>
      </w:r>
      <w:proofErr w:type="spellEnd"/>
      <w:r w:rsidRPr="00095CB0">
        <w:rPr>
          <w:rFonts w:asciiTheme="minorHAnsi" w:hAnsiTheme="minorHAnsi" w:cstheme="minorHAnsi"/>
          <w:color w:val="auto"/>
          <w:lang w:eastAsia="en-US"/>
        </w:rPr>
        <w:t xml:space="preserve"> ECB EFCB (EBTN/SSKBP) (Warszawski Instytut Bankowy).</w:t>
      </w:r>
    </w:p>
    <w:p w14:paraId="3CCE34C0" w14:textId="77777777" w:rsidR="00095CB0" w:rsidRPr="00095CB0" w:rsidRDefault="00095CB0" w:rsidP="00095CB0">
      <w:pPr>
        <w:numPr>
          <w:ilvl w:val="0"/>
          <w:numId w:val="25"/>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komputerowe/informatyczne:</w:t>
      </w:r>
    </w:p>
    <w:p w14:paraId="4DCA8E74"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Certyfikaty kwalifikacji komputerowych;</w:t>
      </w:r>
    </w:p>
    <w:p w14:paraId="6EC7D6C6"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Certyfikat EPP e-Urzędnik;</w:t>
      </w:r>
    </w:p>
    <w:p w14:paraId="03875395"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Europejski Certyfikat Zawodu Informatyka na poziomie bazowym (EUCIP CORE);</w:t>
      </w:r>
    </w:p>
    <w:p w14:paraId="799E3319"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Oracle Certyfikat Java;</w:t>
      </w:r>
    </w:p>
    <w:p w14:paraId="451B3A39" w14:textId="77777777" w:rsidR="00095CB0" w:rsidRPr="00095CB0" w:rsidRDefault="00095CB0" w:rsidP="00095CB0">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Certyfikaty Microsoft.</w:t>
      </w:r>
    </w:p>
    <w:p w14:paraId="4095652A" w14:textId="77777777" w:rsidR="00095CB0" w:rsidRPr="00095CB0" w:rsidRDefault="00095CB0" w:rsidP="00095CB0">
      <w:pPr>
        <w:numPr>
          <w:ilvl w:val="0"/>
          <w:numId w:val="25"/>
        </w:numPr>
        <w:pBdr>
          <w:top w:val="none" w:sz="0" w:space="0" w:color="auto"/>
          <w:left w:val="none" w:sz="0" w:space="0" w:color="auto"/>
          <w:bottom w:val="none" w:sz="0" w:space="0" w:color="auto"/>
          <w:right w:val="none" w:sz="0" w:space="0" w:color="auto"/>
          <w:between w:val="none" w:sz="0" w:space="0" w:color="auto"/>
        </w:pBdr>
        <w:spacing w:after="120" w:line="240" w:lineRule="auto"/>
        <w:ind w:left="1068"/>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językowe</w:t>
      </w:r>
    </w:p>
    <w:p w14:paraId="3E56C889" w14:textId="77777777" w:rsidR="00095CB0" w:rsidRPr="00095CB0" w:rsidRDefault="00095CB0" w:rsidP="00095CB0">
      <w:pPr>
        <w:numPr>
          <w:ilvl w:val="0"/>
          <w:numId w:val="27"/>
        </w:numPr>
        <w:pBdr>
          <w:top w:val="none" w:sz="0" w:space="0" w:color="auto"/>
          <w:left w:val="none" w:sz="0" w:space="0" w:color="auto"/>
          <w:bottom w:val="none" w:sz="0" w:space="0" w:color="auto"/>
          <w:right w:val="none" w:sz="0" w:space="0" w:color="auto"/>
          <w:between w:val="none" w:sz="0" w:space="0" w:color="auto"/>
        </w:pBdr>
        <w:spacing w:after="120" w:line="240" w:lineRule="auto"/>
        <w:ind w:left="720"/>
        <w:jc w:val="both"/>
        <w:rPr>
          <w:rFonts w:asciiTheme="minorHAnsi" w:hAnsiTheme="minorHAnsi" w:cstheme="minorHAnsi"/>
          <w:color w:val="auto"/>
          <w:lang w:eastAsia="en-US"/>
        </w:rPr>
      </w:pPr>
      <w:r w:rsidRPr="00095CB0">
        <w:rPr>
          <w:rFonts w:asciiTheme="minorHAnsi" w:hAnsiTheme="minorHAnsi" w:cstheme="minorHAnsi"/>
          <w:color w:val="auto"/>
          <w:lang w:eastAsia="en-US"/>
        </w:rPr>
        <w:t>Certyfikaty potwierdzające znajomość języków obcych wg klasyfikacji „</w:t>
      </w:r>
      <w:proofErr w:type="spellStart"/>
      <w:r w:rsidRPr="00095CB0">
        <w:rPr>
          <w:rFonts w:asciiTheme="minorHAnsi" w:hAnsiTheme="minorHAnsi" w:cstheme="minorHAnsi"/>
          <w:color w:val="auto"/>
          <w:lang w:eastAsia="en-US"/>
        </w:rPr>
        <w:t>Common</w:t>
      </w:r>
      <w:proofErr w:type="spellEnd"/>
      <w:r w:rsidRPr="00095CB0">
        <w:rPr>
          <w:rFonts w:asciiTheme="minorHAnsi" w:hAnsiTheme="minorHAnsi" w:cstheme="minorHAnsi"/>
          <w:color w:val="auto"/>
          <w:lang w:eastAsia="en-US"/>
        </w:rPr>
        <w:t xml:space="preserve"> </w:t>
      </w:r>
      <w:proofErr w:type="spellStart"/>
      <w:r w:rsidRPr="00095CB0">
        <w:rPr>
          <w:rFonts w:asciiTheme="minorHAnsi" w:hAnsiTheme="minorHAnsi" w:cstheme="minorHAnsi"/>
          <w:color w:val="auto"/>
          <w:lang w:eastAsia="en-US"/>
        </w:rPr>
        <w:t>European</w:t>
      </w:r>
      <w:proofErr w:type="spellEnd"/>
      <w:r w:rsidRPr="00095CB0">
        <w:rPr>
          <w:rFonts w:asciiTheme="minorHAnsi" w:hAnsiTheme="minorHAnsi" w:cstheme="minorHAnsi"/>
          <w:color w:val="auto"/>
          <w:lang w:eastAsia="en-US"/>
        </w:rPr>
        <w:t xml:space="preserve"> Framework of Reference for </w:t>
      </w:r>
      <w:proofErr w:type="spellStart"/>
      <w:r w:rsidRPr="00095CB0">
        <w:rPr>
          <w:rFonts w:asciiTheme="minorHAnsi" w:hAnsiTheme="minorHAnsi" w:cstheme="minorHAnsi"/>
          <w:color w:val="auto"/>
          <w:lang w:eastAsia="en-US"/>
        </w:rPr>
        <w:t>Languages</w:t>
      </w:r>
      <w:proofErr w:type="spellEnd"/>
      <w:r w:rsidRPr="00095CB0">
        <w:rPr>
          <w:rFonts w:asciiTheme="minorHAnsi" w:hAnsiTheme="minorHAnsi" w:cstheme="minorHAnsi"/>
          <w:color w:val="auto"/>
          <w:lang w:eastAsia="en-US"/>
        </w:rPr>
        <w:t xml:space="preserve">: Learning, </w:t>
      </w:r>
      <w:proofErr w:type="spellStart"/>
      <w:r w:rsidRPr="00095CB0">
        <w:rPr>
          <w:rFonts w:asciiTheme="minorHAnsi" w:hAnsiTheme="minorHAnsi" w:cstheme="minorHAnsi"/>
          <w:color w:val="auto"/>
          <w:lang w:eastAsia="en-US"/>
        </w:rPr>
        <w:t>Teaching</w:t>
      </w:r>
      <w:proofErr w:type="spellEnd"/>
      <w:r w:rsidRPr="00095CB0">
        <w:rPr>
          <w:rFonts w:asciiTheme="minorHAnsi" w:hAnsiTheme="minorHAnsi" w:cstheme="minorHAnsi"/>
          <w:color w:val="auto"/>
          <w:lang w:eastAsia="en-US"/>
        </w:rPr>
        <w:t xml:space="preserve">, </w:t>
      </w:r>
      <w:proofErr w:type="spellStart"/>
      <w:r w:rsidRPr="00095CB0">
        <w:rPr>
          <w:rFonts w:asciiTheme="minorHAnsi" w:hAnsiTheme="minorHAnsi" w:cstheme="minorHAnsi"/>
          <w:color w:val="auto"/>
          <w:lang w:eastAsia="en-US"/>
        </w:rPr>
        <w:t>Assessment</w:t>
      </w:r>
      <w:proofErr w:type="spellEnd"/>
      <w:r w:rsidRPr="00095CB0">
        <w:rPr>
          <w:rFonts w:asciiTheme="minorHAnsi" w:hAnsiTheme="minorHAnsi" w:cstheme="minorHAnsi"/>
          <w:color w:val="auto"/>
          <w:lang w:eastAsia="en-US"/>
        </w:rPr>
        <w:t>” - „Europejski System Opisu kształcenia językowego: uczenie się, nauczanie, ocenianie”.</w:t>
      </w:r>
    </w:p>
    <w:p w14:paraId="2258062A" w14:textId="77777777" w:rsidR="00095CB0" w:rsidRPr="00095CB0" w:rsidRDefault="00095CB0" w:rsidP="00095CB0">
      <w:pPr>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ind w:left="1134" w:hanging="425"/>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zarządzania projektami:</w:t>
      </w:r>
    </w:p>
    <w:p w14:paraId="25F13D4B" w14:textId="77777777" w:rsidR="00095CB0" w:rsidRPr="00095CB0" w:rsidRDefault="00095CB0" w:rsidP="00095CB0">
      <w:pPr>
        <w:numPr>
          <w:ilvl w:val="0"/>
          <w:numId w:val="27"/>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hAnsiTheme="minorHAnsi" w:cstheme="minorHAnsi"/>
          <w:color w:val="auto"/>
          <w:lang w:val="en-US" w:eastAsia="en-US"/>
        </w:rPr>
      </w:pPr>
      <w:r w:rsidRPr="00095CB0">
        <w:rPr>
          <w:rFonts w:asciiTheme="minorHAnsi" w:hAnsiTheme="minorHAnsi" w:cstheme="minorHAnsi"/>
          <w:color w:val="auto"/>
          <w:lang w:val="en-US" w:eastAsia="en-US"/>
        </w:rPr>
        <w:t>np.: Prince2 Foundation, PRINCE2 Practitioner, PMI, PMP, PMBOK.</w:t>
      </w:r>
    </w:p>
    <w:p w14:paraId="32C93D6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ind w:left="360"/>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Wykazane powyżej certyfikaty i kwalifikacje stanowią jedynie przykłady i nie należy ich traktować jako zamkniętej listy.</w:t>
      </w:r>
    </w:p>
    <w:p w14:paraId="6D44E25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3. Instytucje certyfikujące</w:t>
      </w:r>
    </w:p>
    <w:p w14:paraId="06AB381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Przez </w:t>
      </w:r>
      <w:r w:rsidRPr="00095CB0">
        <w:rPr>
          <w:rFonts w:asciiTheme="minorHAnsi" w:hAnsiTheme="minorHAnsi" w:cstheme="minorHAnsi"/>
          <w:b/>
          <w:color w:val="auto"/>
          <w:lang w:eastAsia="en-US"/>
        </w:rPr>
        <w:t>instytucję certyfikującą należy rozumieć podmiot, który uzyskał uprawnienia do certyfikowania, spełniając wymogi określone w ustawie o ZSK z dnia 22 grudnia 2015 r., a w okresie przejściowym także podmiot, który spełnia podstawowe wymogi określone w ustawie o ZSK.</w:t>
      </w:r>
      <w:r w:rsidRPr="00095CB0">
        <w:rPr>
          <w:rFonts w:asciiTheme="minorHAnsi" w:hAnsiTheme="minorHAnsi" w:cstheme="minorHAnsi"/>
          <w:color w:val="auto"/>
          <w:lang w:eastAsia="en-US"/>
        </w:rPr>
        <w:t xml:space="preserve"> Instytucjami certyfikującymi </w:t>
      </w:r>
      <w:r w:rsidRPr="00095CB0">
        <w:rPr>
          <w:rFonts w:asciiTheme="minorHAnsi" w:hAnsiTheme="minorHAnsi" w:cstheme="minorHAnsi"/>
          <w:color w:val="auto"/>
          <w:lang w:eastAsia="en-US"/>
        </w:rPr>
        <w:lastRenderedPageBreak/>
        <w:t>mogą być np.: uczelnie, szkoły, okręgowe komisje egzaminacyjne, instytucje szkoleniowe, stowarzyszenia zawodowe, organy administracji publicznej.</w:t>
      </w:r>
    </w:p>
    <w:p w14:paraId="719364CD"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lang w:eastAsia="en-US"/>
        </w:rPr>
      </w:pPr>
      <w:r w:rsidRPr="00095CB0">
        <w:rPr>
          <w:rFonts w:asciiTheme="minorHAnsi" w:hAnsiTheme="minorHAnsi" w:cstheme="minorHAnsi"/>
          <w:lang w:eastAsia="en-US"/>
        </w:rPr>
        <w:t>Instytucje certyfikujące mogą samodzielnie przeprowadzać walidację (w takiej sytuacji procesy walidacji i certyfikacji muszą być odpowiednio rozdzielone). Zgodnie z art. 47 ust. 2 ustawy o ZSK</w:t>
      </w:r>
      <w:r w:rsidRPr="00095CB0">
        <w:rPr>
          <w:rFonts w:asciiTheme="minorHAnsi" w:hAnsiTheme="minorHAnsi" w:cstheme="minorHAnsi"/>
          <w:color w:val="auto"/>
          <w:lang w:eastAsia="en-US"/>
        </w:rPr>
        <w:t xml:space="preserve"> </w:t>
      </w:r>
      <w:r w:rsidRPr="00095CB0">
        <w:rPr>
          <w:rFonts w:asciiTheme="minorHAnsi" w:hAnsiTheme="minorHAnsi" w:cstheme="minorHAnsi"/>
          <w:lang w:eastAsia="en-US"/>
        </w:rPr>
        <w:t xml:space="preserve">z dnia 22 grudnia 2015 r. instytucje certyfikujące mogą przekazywać ją do </w:t>
      </w:r>
      <w:r w:rsidRPr="00095CB0">
        <w:rPr>
          <w:rFonts w:asciiTheme="minorHAnsi" w:hAnsiTheme="minorHAnsi" w:cstheme="minorHAnsi"/>
          <w:b/>
          <w:lang w:eastAsia="en-US"/>
        </w:rPr>
        <w:t>instytucji walidujących</w:t>
      </w:r>
      <w:r w:rsidRPr="00095CB0">
        <w:rPr>
          <w:rFonts w:asciiTheme="minorHAnsi" w:hAnsiTheme="minorHAnsi" w:cstheme="minorHAnsi"/>
          <w:lang w:eastAsia="en-US"/>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3E8F113F"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lang w:eastAsia="en-US"/>
        </w:rPr>
        <w:t xml:space="preserve">W projektach realizowanych ze środków EFS można wykazywać wyłącznie kwalifikacje, których jakość gwarantują odpowiednie procedury i nadzór sprawowany przez konkretny podmiot. </w:t>
      </w:r>
      <w:r w:rsidRPr="00095CB0">
        <w:rPr>
          <w:rFonts w:asciiTheme="minorHAnsi" w:hAnsiTheme="minorHAnsi" w:cstheme="minorHAnsi"/>
          <w:color w:val="auto"/>
          <w:lang w:eastAsia="en-US"/>
        </w:rPr>
        <w:t xml:space="preserve">Aby zapewnić jakość walidacji i certyfikowania instytucje certyfikujące muszą zapewnić rozdzielenie procesów kształcenia i szkolenia od walidacji (Art.63 ust. 3 pkt 1 ustawy o ZSK). </w:t>
      </w:r>
    </w:p>
    <w:p w14:paraId="119572A2"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Przykłady</w:t>
      </w:r>
      <w:r w:rsidRPr="00095CB0">
        <w:rPr>
          <w:rFonts w:asciiTheme="minorHAnsi" w:hAnsiTheme="minorHAnsi" w:cstheme="minorHAnsi"/>
          <w:color w:val="auto"/>
          <w:lang w:eastAsia="en-US"/>
        </w:rPr>
        <w:t xml:space="preserve"> </w:t>
      </w:r>
      <w:r w:rsidRPr="00095CB0">
        <w:rPr>
          <w:rFonts w:asciiTheme="minorHAnsi" w:hAnsiTheme="minorHAnsi" w:cstheme="minorHAnsi"/>
          <w:b/>
          <w:color w:val="auto"/>
          <w:lang w:eastAsia="en-US"/>
        </w:rPr>
        <w:t>instytucji pełniących role instytucji certyfikujących dla różnych kwalifikacji: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095CB0" w:rsidRPr="00095CB0" w14:paraId="79AA9471" w14:textId="77777777" w:rsidTr="00095CB0">
        <w:tc>
          <w:tcPr>
            <w:tcW w:w="421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D5B750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heme="minorHAnsi" w:hAnsiTheme="minorHAnsi" w:cstheme="minorHAnsi"/>
                <w:b/>
                <w:color w:val="auto"/>
                <w:lang w:eastAsia="en-US"/>
              </w:rPr>
            </w:pPr>
            <w:r w:rsidRPr="00095CB0">
              <w:rPr>
                <w:rFonts w:asciiTheme="minorHAnsi" w:hAnsiTheme="minorHAnsi" w:cstheme="minorHAnsi"/>
                <w:b/>
                <w:color w:val="auto"/>
                <w:lang w:eastAsia="en-US"/>
              </w:rPr>
              <w:t>Nazwa kwalifikacji</w:t>
            </w:r>
          </w:p>
        </w:tc>
        <w:tc>
          <w:tcPr>
            <w:tcW w:w="510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A5BF5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heme="minorHAnsi" w:hAnsiTheme="minorHAnsi" w:cstheme="minorHAnsi"/>
                <w:b/>
                <w:color w:val="auto"/>
                <w:lang w:eastAsia="en-US"/>
              </w:rPr>
            </w:pPr>
            <w:r w:rsidRPr="00095CB0">
              <w:rPr>
                <w:rFonts w:asciiTheme="minorHAnsi" w:hAnsiTheme="minorHAnsi" w:cstheme="minorHAnsi"/>
                <w:b/>
                <w:color w:val="auto"/>
                <w:lang w:eastAsia="en-US"/>
              </w:rPr>
              <w:t>INSTYTUCJA CERTYFIKUJĄCA</w:t>
            </w:r>
          </w:p>
        </w:tc>
      </w:tr>
      <w:tr w:rsidR="00095CB0" w:rsidRPr="00095CB0" w14:paraId="0ED4AEC8"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200DAE7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ze szkolnictwa zawodowego</w:t>
            </w:r>
          </w:p>
        </w:tc>
        <w:tc>
          <w:tcPr>
            <w:tcW w:w="5103" w:type="dxa"/>
            <w:tcBorders>
              <w:top w:val="single" w:sz="4" w:space="0" w:color="auto"/>
              <w:left w:val="single" w:sz="4" w:space="0" w:color="auto"/>
              <w:bottom w:val="single" w:sz="4" w:space="0" w:color="auto"/>
              <w:right w:val="single" w:sz="4" w:space="0" w:color="auto"/>
            </w:tcBorders>
            <w:hideMark/>
          </w:tcPr>
          <w:p w14:paraId="47EA9EA3"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Okręgowe Komisje Egzaminacyjne</w:t>
            </w:r>
          </w:p>
        </w:tc>
      </w:tr>
      <w:tr w:rsidR="00095CB0" w:rsidRPr="00095CB0" w14:paraId="5DECC189"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1041E0C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rzemieślnicze</w:t>
            </w:r>
          </w:p>
        </w:tc>
        <w:tc>
          <w:tcPr>
            <w:tcW w:w="5103" w:type="dxa"/>
            <w:tcBorders>
              <w:top w:val="single" w:sz="4" w:space="0" w:color="auto"/>
              <w:left w:val="single" w:sz="4" w:space="0" w:color="auto"/>
              <w:bottom w:val="single" w:sz="4" w:space="0" w:color="auto"/>
              <w:right w:val="single" w:sz="4" w:space="0" w:color="auto"/>
            </w:tcBorders>
            <w:hideMark/>
          </w:tcPr>
          <w:p w14:paraId="4A59465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Izby rzemieślnicze (Egzaminy przeprowadzają komisje egzaminacyjne przy izbach rzemieślniczych)</w:t>
            </w:r>
          </w:p>
        </w:tc>
      </w:tr>
      <w:tr w:rsidR="00095CB0" w:rsidRPr="00095CB0" w14:paraId="0A56922B"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5EC9929D"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ECDL</w:t>
            </w:r>
          </w:p>
        </w:tc>
        <w:tc>
          <w:tcPr>
            <w:tcW w:w="5103" w:type="dxa"/>
            <w:tcBorders>
              <w:top w:val="single" w:sz="4" w:space="0" w:color="auto"/>
              <w:left w:val="single" w:sz="4" w:space="0" w:color="auto"/>
              <w:bottom w:val="single" w:sz="4" w:space="0" w:color="auto"/>
              <w:right w:val="single" w:sz="4" w:space="0" w:color="auto"/>
            </w:tcBorders>
            <w:hideMark/>
          </w:tcPr>
          <w:p w14:paraId="760A75D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Polskie Towarzystwo Informatyczne (Egzaminy przeprowadzają Centra Egzaminacyjne akredytowane przez PTI)</w:t>
            </w:r>
          </w:p>
        </w:tc>
      </w:tr>
      <w:tr w:rsidR="00095CB0" w:rsidRPr="00095CB0" w14:paraId="43908372"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36323AC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Licencje lotnicze</w:t>
            </w:r>
          </w:p>
        </w:tc>
        <w:tc>
          <w:tcPr>
            <w:tcW w:w="5103" w:type="dxa"/>
            <w:tcBorders>
              <w:top w:val="single" w:sz="4" w:space="0" w:color="auto"/>
              <w:left w:val="single" w:sz="4" w:space="0" w:color="auto"/>
              <w:bottom w:val="single" w:sz="4" w:space="0" w:color="auto"/>
              <w:right w:val="single" w:sz="4" w:space="0" w:color="auto"/>
            </w:tcBorders>
            <w:hideMark/>
          </w:tcPr>
          <w:p w14:paraId="40060F9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Urząd Lotnictwa Cywilnego</w:t>
            </w:r>
          </w:p>
        </w:tc>
      </w:tr>
      <w:tr w:rsidR="00095CB0" w:rsidRPr="00095CB0" w14:paraId="5EB6B08D"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1A0F8EB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Kwalifikacje w sektorze bankowym i finansowym</w:t>
            </w:r>
          </w:p>
        </w:tc>
        <w:tc>
          <w:tcPr>
            <w:tcW w:w="5103" w:type="dxa"/>
            <w:tcBorders>
              <w:top w:val="single" w:sz="4" w:space="0" w:color="auto"/>
              <w:left w:val="single" w:sz="4" w:space="0" w:color="auto"/>
              <w:bottom w:val="single" w:sz="4" w:space="0" w:color="auto"/>
              <w:right w:val="single" w:sz="4" w:space="0" w:color="auto"/>
            </w:tcBorders>
            <w:hideMark/>
          </w:tcPr>
          <w:p w14:paraId="61E30EA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Warszawski Instytut Bankowości</w:t>
            </w:r>
          </w:p>
        </w:tc>
      </w:tr>
      <w:tr w:rsidR="00095CB0" w:rsidRPr="00095CB0" w14:paraId="3459C60C"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21A009C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Uprawnienia budowlane</w:t>
            </w:r>
          </w:p>
        </w:tc>
        <w:tc>
          <w:tcPr>
            <w:tcW w:w="5103" w:type="dxa"/>
            <w:tcBorders>
              <w:top w:val="single" w:sz="4" w:space="0" w:color="auto"/>
              <w:left w:val="single" w:sz="4" w:space="0" w:color="auto"/>
              <w:bottom w:val="single" w:sz="4" w:space="0" w:color="auto"/>
              <w:right w:val="single" w:sz="4" w:space="0" w:color="auto"/>
            </w:tcBorders>
          </w:tcPr>
          <w:p w14:paraId="13A4217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Okręgowa Komisja Kwalifikacyjna Polskiej Izby Inżynierów Budownictwa</w:t>
            </w:r>
          </w:p>
          <w:p w14:paraId="1AA4839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p>
        </w:tc>
      </w:tr>
      <w:tr w:rsidR="00095CB0" w:rsidRPr="00095CB0" w14:paraId="61F9BC22"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730F940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Uprawnienia budowlane w telekomunikacji</w:t>
            </w:r>
          </w:p>
        </w:tc>
        <w:tc>
          <w:tcPr>
            <w:tcW w:w="5103" w:type="dxa"/>
            <w:tcBorders>
              <w:top w:val="single" w:sz="4" w:space="0" w:color="auto"/>
              <w:left w:val="single" w:sz="4" w:space="0" w:color="auto"/>
              <w:bottom w:val="single" w:sz="4" w:space="0" w:color="auto"/>
              <w:right w:val="single" w:sz="4" w:space="0" w:color="auto"/>
            </w:tcBorders>
            <w:hideMark/>
          </w:tcPr>
          <w:p w14:paraId="37AF7A7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Stowarzyszenie Budowniczych Telekomunikacji</w:t>
            </w:r>
          </w:p>
        </w:tc>
      </w:tr>
      <w:tr w:rsidR="00095CB0" w:rsidRPr="00095CB0" w14:paraId="707B1667"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44B3583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Specjalizacje lekarskie</w:t>
            </w:r>
          </w:p>
        </w:tc>
        <w:tc>
          <w:tcPr>
            <w:tcW w:w="5103" w:type="dxa"/>
            <w:tcBorders>
              <w:top w:val="single" w:sz="4" w:space="0" w:color="auto"/>
              <w:left w:val="single" w:sz="4" w:space="0" w:color="auto"/>
              <w:bottom w:val="single" w:sz="4" w:space="0" w:color="auto"/>
              <w:right w:val="single" w:sz="4" w:space="0" w:color="auto"/>
            </w:tcBorders>
            <w:hideMark/>
          </w:tcPr>
          <w:p w14:paraId="2F4B229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Centrum Egzaminów Medycznych</w:t>
            </w:r>
          </w:p>
        </w:tc>
      </w:tr>
      <w:tr w:rsidR="00095CB0" w:rsidRPr="00095CB0" w14:paraId="71E614C5" w14:textId="77777777" w:rsidTr="00095CB0">
        <w:tc>
          <w:tcPr>
            <w:tcW w:w="4219" w:type="dxa"/>
            <w:tcBorders>
              <w:top w:val="single" w:sz="4" w:space="0" w:color="auto"/>
              <w:left w:val="single" w:sz="4" w:space="0" w:color="auto"/>
              <w:bottom w:val="single" w:sz="4" w:space="0" w:color="auto"/>
              <w:right w:val="single" w:sz="4" w:space="0" w:color="auto"/>
            </w:tcBorders>
            <w:hideMark/>
          </w:tcPr>
          <w:p w14:paraId="3D1770E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Dyplomowany księgowy</w:t>
            </w:r>
          </w:p>
        </w:tc>
        <w:tc>
          <w:tcPr>
            <w:tcW w:w="5103" w:type="dxa"/>
            <w:tcBorders>
              <w:top w:val="single" w:sz="4" w:space="0" w:color="auto"/>
              <w:left w:val="single" w:sz="4" w:space="0" w:color="auto"/>
              <w:bottom w:val="single" w:sz="4" w:space="0" w:color="auto"/>
              <w:right w:val="single" w:sz="4" w:space="0" w:color="auto"/>
            </w:tcBorders>
            <w:hideMark/>
          </w:tcPr>
          <w:p w14:paraId="4753B8D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Stowarzyszenie Księgowych w Polsce (Egzaminy przeprowadzają Oddziały Okręgowe Stowarzyszenia Księgowych w Polsce)</w:t>
            </w:r>
          </w:p>
        </w:tc>
      </w:tr>
      <w:tr w:rsidR="00095CB0" w:rsidRPr="00095CB0" w14:paraId="79D66C53" w14:textId="77777777" w:rsidTr="00095CB0">
        <w:trPr>
          <w:trHeight w:val="668"/>
        </w:trPr>
        <w:tc>
          <w:tcPr>
            <w:tcW w:w="4219" w:type="dxa"/>
            <w:tcBorders>
              <w:top w:val="single" w:sz="4" w:space="0" w:color="auto"/>
              <w:left w:val="single" w:sz="4" w:space="0" w:color="auto"/>
              <w:bottom w:val="single" w:sz="4" w:space="0" w:color="auto"/>
              <w:right w:val="single" w:sz="4" w:space="0" w:color="auto"/>
            </w:tcBorders>
            <w:hideMark/>
          </w:tcPr>
          <w:p w14:paraId="22B7CA8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Trener Organizacji Pozarządowych</w:t>
            </w:r>
          </w:p>
        </w:tc>
        <w:tc>
          <w:tcPr>
            <w:tcW w:w="5103" w:type="dxa"/>
            <w:tcBorders>
              <w:top w:val="single" w:sz="4" w:space="0" w:color="auto"/>
              <w:left w:val="single" w:sz="4" w:space="0" w:color="auto"/>
              <w:bottom w:val="single" w:sz="4" w:space="0" w:color="auto"/>
              <w:right w:val="single" w:sz="4" w:space="0" w:color="auto"/>
            </w:tcBorders>
            <w:hideMark/>
          </w:tcPr>
          <w:p w14:paraId="7FE11B0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Stowarzyszenie Trenerów Organizacji Pozarządowych</w:t>
            </w:r>
          </w:p>
        </w:tc>
      </w:tr>
      <w:tr w:rsidR="00095CB0" w:rsidRPr="00095CB0" w14:paraId="7D36C0AF" w14:textId="77777777" w:rsidTr="00095CB0">
        <w:trPr>
          <w:trHeight w:val="633"/>
        </w:trPr>
        <w:tc>
          <w:tcPr>
            <w:tcW w:w="4219" w:type="dxa"/>
            <w:tcBorders>
              <w:top w:val="single" w:sz="4" w:space="0" w:color="auto"/>
              <w:left w:val="single" w:sz="4" w:space="0" w:color="auto"/>
              <w:bottom w:val="single" w:sz="4" w:space="0" w:color="auto"/>
              <w:right w:val="single" w:sz="4" w:space="0" w:color="auto"/>
            </w:tcBorders>
            <w:hideMark/>
          </w:tcPr>
          <w:p w14:paraId="3206A05E"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lastRenderedPageBreak/>
              <w:t>Prawo jazdy (wszystkie kategorie)</w:t>
            </w:r>
          </w:p>
        </w:tc>
        <w:tc>
          <w:tcPr>
            <w:tcW w:w="5103" w:type="dxa"/>
            <w:tcBorders>
              <w:top w:val="single" w:sz="4" w:space="0" w:color="auto"/>
              <w:left w:val="single" w:sz="4" w:space="0" w:color="auto"/>
              <w:bottom w:val="single" w:sz="4" w:space="0" w:color="auto"/>
              <w:right w:val="single" w:sz="4" w:space="0" w:color="auto"/>
            </w:tcBorders>
            <w:hideMark/>
          </w:tcPr>
          <w:p w14:paraId="4343057F"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Starosta powiatu/Prezydent miasta (Egzaminy przeprowadza Wojewódzki Ośrodek Ruchu Drogowego)</w:t>
            </w:r>
          </w:p>
        </w:tc>
      </w:tr>
      <w:tr w:rsidR="00095CB0" w:rsidRPr="00095CB0" w14:paraId="537F6137" w14:textId="77777777" w:rsidTr="00095CB0">
        <w:trPr>
          <w:trHeight w:val="921"/>
        </w:trPr>
        <w:tc>
          <w:tcPr>
            <w:tcW w:w="4219" w:type="dxa"/>
            <w:tcBorders>
              <w:top w:val="single" w:sz="4" w:space="0" w:color="auto"/>
              <w:left w:val="single" w:sz="4" w:space="0" w:color="auto"/>
              <w:bottom w:val="single" w:sz="4" w:space="0" w:color="auto"/>
              <w:right w:val="single" w:sz="4" w:space="0" w:color="auto"/>
            </w:tcBorders>
            <w:hideMark/>
          </w:tcPr>
          <w:p w14:paraId="388AFAD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Obsługa i konserwacja urządzeń technicznych</w:t>
            </w:r>
          </w:p>
        </w:tc>
        <w:tc>
          <w:tcPr>
            <w:tcW w:w="5103" w:type="dxa"/>
            <w:tcBorders>
              <w:top w:val="single" w:sz="4" w:space="0" w:color="auto"/>
              <w:left w:val="single" w:sz="4" w:space="0" w:color="auto"/>
              <w:bottom w:val="single" w:sz="4" w:space="0" w:color="auto"/>
              <w:right w:val="single" w:sz="4" w:space="0" w:color="auto"/>
            </w:tcBorders>
            <w:hideMark/>
          </w:tcPr>
          <w:p w14:paraId="46C5573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Urząd Dozoru Technicznego</w:t>
            </w:r>
          </w:p>
          <w:p w14:paraId="1BB03F7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Transportowy Dozór Techniczny</w:t>
            </w:r>
          </w:p>
        </w:tc>
      </w:tr>
      <w:tr w:rsidR="00095CB0" w:rsidRPr="00095CB0" w14:paraId="38DB48CF" w14:textId="77777777" w:rsidTr="00095CB0">
        <w:trPr>
          <w:trHeight w:val="461"/>
        </w:trPr>
        <w:tc>
          <w:tcPr>
            <w:tcW w:w="4219" w:type="dxa"/>
            <w:tcBorders>
              <w:top w:val="single" w:sz="4" w:space="0" w:color="auto"/>
              <w:left w:val="single" w:sz="4" w:space="0" w:color="auto"/>
              <w:bottom w:val="single" w:sz="4" w:space="0" w:color="auto"/>
              <w:right w:val="single" w:sz="4" w:space="0" w:color="auto"/>
            </w:tcBorders>
            <w:hideMark/>
          </w:tcPr>
          <w:p w14:paraId="58C1628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Instalator mikro- i małych instalacji OZE</w:t>
            </w:r>
          </w:p>
        </w:tc>
        <w:tc>
          <w:tcPr>
            <w:tcW w:w="5103" w:type="dxa"/>
            <w:tcBorders>
              <w:top w:val="single" w:sz="4" w:space="0" w:color="auto"/>
              <w:left w:val="single" w:sz="4" w:space="0" w:color="auto"/>
              <w:bottom w:val="single" w:sz="4" w:space="0" w:color="auto"/>
              <w:right w:val="single" w:sz="4" w:space="0" w:color="auto"/>
            </w:tcBorders>
          </w:tcPr>
          <w:p w14:paraId="0DEDD64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Urząd Dozoru Technicznego</w:t>
            </w:r>
          </w:p>
          <w:p w14:paraId="7842E1BF"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p>
        </w:tc>
      </w:tr>
      <w:tr w:rsidR="00095CB0" w:rsidRPr="00095CB0" w14:paraId="3ED4B6E9" w14:textId="77777777" w:rsidTr="00095CB0">
        <w:trPr>
          <w:trHeight w:val="910"/>
        </w:trPr>
        <w:tc>
          <w:tcPr>
            <w:tcW w:w="4219" w:type="dxa"/>
            <w:tcBorders>
              <w:top w:val="single" w:sz="4" w:space="0" w:color="auto"/>
              <w:left w:val="single" w:sz="4" w:space="0" w:color="auto"/>
              <w:bottom w:val="single" w:sz="4" w:space="0" w:color="auto"/>
              <w:right w:val="single" w:sz="4" w:space="0" w:color="auto"/>
            </w:tcBorders>
            <w:hideMark/>
          </w:tcPr>
          <w:p w14:paraId="4F8500BE"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Eksploatacja urządzeń, instalacji i sieci energetycznych</w:t>
            </w:r>
          </w:p>
        </w:tc>
        <w:tc>
          <w:tcPr>
            <w:tcW w:w="5103" w:type="dxa"/>
            <w:tcBorders>
              <w:top w:val="single" w:sz="4" w:space="0" w:color="auto"/>
              <w:left w:val="single" w:sz="4" w:space="0" w:color="auto"/>
              <w:bottom w:val="single" w:sz="4" w:space="0" w:color="auto"/>
              <w:right w:val="single" w:sz="4" w:space="0" w:color="auto"/>
            </w:tcBorders>
            <w:hideMark/>
          </w:tcPr>
          <w:p w14:paraId="3C7A672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Urząd Regulacji Energetyki</w:t>
            </w:r>
          </w:p>
        </w:tc>
      </w:tr>
      <w:tr w:rsidR="00095CB0" w:rsidRPr="00095CB0" w14:paraId="6C98E5E5" w14:textId="77777777" w:rsidTr="00095CB0">
        <w:trPr>
          <w:trHeight w:val="518"/>
        </w:trPr>
        <w:tc>
          <w:tcPr>
            <w:tcW w:w="4219" w:type="dxa"/>
            <w:tcBorders>
              <w:top w:val="single" w:sz="4" w:space="0" w:color="auto"/>
              <w:left w:val="single" w:sz="4" w:space="0" w:color="auto"/>
              <w:bottom w:val="single" w:sz="4" w:space="0" w:color="auto"/>
              <w:right w:val="single" w:sz="4" w:space="0" w:color="auto"/>
            </w:tcBorders>
            <w:hideMark/>
          </w:tcPr>
          <w:p w14:paraId="0179DDC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Spawacz</w:t>
            </w:r>
          </w:p>
        </w:tc>
        <w:tc>
          <w:tcPr>
            <w:tcW w:w="5103" w:type="dxa"/>
            <w:tcBorders>
              <w:top w:val="single" w:sz="4" w:space="0" w:color="auto"/>
              <w:left w:val="single" w:sz="4" w:space="0" w:color="auto"/>
              <w:bottom w:val="single" w:sz="4" w:space="0" w:color="auto"/>
              <w:right w:val="single" w:sz="4" w:space="0" w:color="auto"/>
            </w:tcBorders>
            <w:hideMark/>
          </w:tcPr>
          <w:p w14:paraId="3B3D68DE"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Instytut Spawalnictwa</w:t>
            </w:r>
          </w:p>
          <w:p w14:paraId="3DECDD1F"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Urząd Dozoru Technicznego,</w:t>
            </w:r>
          </w:p>
          <w:p w14:paraId="42EBD6B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Polski Rejestr Statków</w:t>
            </w:r>
          </w:p>
        </w:tc>
      </w:tr>
      <w:tr w:rsidR="00095CB0" w:rsidRPr="00095CB0" w14:paraId="2D192EE1" w14:textId="77777777" w:rsidTr="00095CB0">
        <w:trPr>
          <w:trHeight w:val="410"/>
        </w:trPr>
        <w:tc>
          <w:tcPr>
            <w:tcW w:w="4219" w:type="dxa"/>
            <w:tcBorders>
              <w:top w:val="single" w:sz="4" w:space="0" w:color="auto"/>
              <w:left w:val="single" w:sz="4" w:space="0" w:color="auto"/>
              <w:bottom w:val="single" w:sz="4" w:space="0" w:color="auto"/>
              <w:right w:val="single" w:sz="4" w:space="0" w:color="auto"/>
            </w:tcBorders>
            <w:hideMark/>
          </w:tcPr>
          <w:p w14:paraId="40B883F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Rzecznik patentowy</w:t>
            </w:r>
          </w:p>
        </w:tc>
        <w:tc>
          <w:tcPr>
            <w:tcW w:w="5103" w:type="dxa"/>
            <w:tcBorders>
              <w:top w:val="single" w:sz="4" w:space="0" w:color="auto"/>
              <w:left w:val="single" w:sz="4" w:space="0" w:color="auto"/>
              <w:bottom w:val="single" w:sz="4" w:space="0" w:color="auto"/>
              <w:right w:val="single" w:sz="4" w:space="0" w:color="auto"/>
            </w:tcBorders>
            <w:hideMark/>
          </w:tcPr>
          <w:p w14:paraId="01AB8BA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Samorząd Rzeczników Patentowych</w:t>
            </w:r>
          </w:p>
        </w:tc>
      </w:tr>
      <w:tr w:rsidR="00095CB0" w:rsidRPr="00095CB0" w14:paraId="016ACDD8" w14:textId="77777777" w:rsidTr="00095CB0">
        <w:trPr>
          <w:trHeight w:val="410"/>
        </w:trPr>
        <w:tc>
          <w:tcPr>
            <w:tcW w:w="4219" w:type="dxa"/>
            <w:tcBorders>
              <w:top w:val="single" w:sz="4" w:space="0" w:color="auto"/>
              <w:left w:val="single" w:sz="4" w:space="0" w:color="auto"/>
              <w:bottom w:val="single" w:sz="4" w:space="0" w:color="auto"/>
              <w:right w:val="single" w:sz="4" w:space="0" w:color="auto"/>
            </w:tcBorders>
            <w:hideMark/>
          </w:tcPr>
          <w:p w14:paraId="3A2843D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Adwokat</w:t>
            </w:r>
          </w:p>
        </w:tc>
        <w:tc>
          <w:tcPr>
            <w:tcW w:w="5103" w:type="dxa"/>
            <w:tcBorders>
              <w:top w:val="single" w:sz="4" w:space="0" w:color="auto"/>
              <w:left w:val="single" w:sz="4" w:space="0" w:color="auto"/>
              <w:bottom w:val="single" w:sz="4" w:space="0" w:color="auto"/>
              <w:right w:val="single" w:sz="4" w:space="0" w:color="auto"/>
            </w:tcBorders>
            <w:hideMark/>
          </w:tcPr>
          <w:p w14:paraId="35BF27E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Samorząd Adwokacki</w:t>
            </w:r>
          </w:p>
        </w:tc>
      </w:tr>
      <w:tr w:rsidR="00095CB0" w:rsidRPr="00095CB0" w14:paraId="52B82985" w14:textId="77777777" w:rsidTr="00095CB0">
        <w:trPr>
          <w:trHeight w:val="387"/>
        </w:trPr>
        <w:tc>
          <w:tcPr>
            <w:tcW w:w="4219" w:type="dxa"/>
            <w:tcBorders>
              <w:top w:val="single" w:sz="4" w:space="0" w:color="auto"/>
              <w:left w:val="single" w:sz="4" w:space="0" w:color="auto"/>
              <w:bottom w:val="single" w:sz="4" w:space="0" w:color="auto"/>
              <w:right w:val="single" w:sz="4" w:space="0" w:color="auto"/>
            </w:tcBorders>
            <w:hideMark/>
          </w:tcPr>
          <w:p w14:paraId="796793C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Marynarz</w:t>
            </w:r>
          </w:p>
        </w:tc>
        <w:tc>
          <w:tcPr>
            <w:tcW w:w="5103" w:type="dxa"/>
            <w:tcBorders>
              <w:top w:val="single" w:sz="4" w:space="0" w:color="auto"/>
              <w:left w:val="single" w:sz="4" w:space="0" w:color="auto"/>
              <w:bottom w:val="single" w:sz="4" w:space="0" w:color="auto"/>
              <w:right w:val="single" w:sz="4" w:space="0" w:color="auto"/>
            </w:tcBorders>
            <w:hideMark/>
          </w:tcPr>
          <w:p w14:paraId="159D685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Urząd Morski</w:t>
            </w:r>
          </w:p>
        </w:tc>
      </w:tr>
      <w:tr w:rsidR="00095CB0" w:rsidRPr="00095CB0" w14:paraId="09C8654F" w14:textId="77777777" w:rsidTr="00095CB0">
        <w:trPr>
          <w:trHeight w:val="564"/>
        </w:trPr>
        <w:tc>
          <w:tcPr>
            <w:tcW w:w="4219" w:type="dxa"/>
            <w:tcBorders>
              <w:top w:val="single" w:sz="4" w:space="0" w:color="auto"/>
              <w:left w:val="single" w:sz="4" w:space="0" w:color="auto"/>
              <w:bottom w:val="single" w:sz="4" w:space="0" w:color="auto"/>
              <w:right w:val="single" w:sz="4" w:space="0" w:color="auto"/>
            </w:tcBorders>
            <w:hideMark/>
          </w:tcPr>
          <w:p w14:paraId="7E1DA65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Inspektor dozoru jądrowego</w:t>
            </w:r>
          </w:p>
        </w:tc>
        <w:tc>
          <w:tcPr>
            <w:tcW w:w="5103" w:type="dxa"/>
            <w:tcBorders>
              <w:top w:val="single" w:sz="4" w:space="0" w:color="auto"/>
              <w:left w:val="single" w:sz="4" w:space="0" w:color="auto"/>
              <w:bottom w:val="single" w:sz="4" w:space="0" w:color="auto"/>
              <w:right w:val="single" w:sz="4" w:space="0" w:color="auto"/>
            </w:tcBorders>
            <w:hideMark/>
          </w:tcPr>
          <w:p w14:paraId="528314F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Państwowa Agencja Atomistyki</w:t>
            </w:r>
          </w:p>
        </w:tc>
      </w:tr>
      <w:tr w:rsidR="00095CB0" w:rsidRPr="00095CB0" w14:paraId="0A212AC2" w14:textId="77777777" w:rsidTr="00095CB0">
        <w:trPr>
          <w:trHeight w:val="334"/>
        </w:trPr>
        <w:tc>
          <w:tcPr>
            <w:tcW w:w="4219" w:type="dxa"/>
            <w:tcBorders>
              <w:top w:val="single" w:sz="4" w:space="0" w:color="auto"/>
              <w:left w:val="single" w:sz="4" w:space="0" w:color="auto"/>
              <w:bottom w:val="single" w:sz="4" w:space="0" w:color="auto"/>
              <w:right w:val="single" w:sz="4" w:space="0" w:color="auto"/>
            </w:tcBorders>
            <w:hideMark/>
          </w:tcPr>
          <w:p w14:paraId="67E33AC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Biegły rewident</w:t>
            </w:r>
          </w:p>
        </w:tc>
        <w:tc>
          <w:tcPr>
            <w:tcW w:w="5103" w:type="dxa"/>
            <w:tcBorders>
              <w:top w:val="single" w:sz="4" w:space="0" w:color="auto"/>
              <w:left w:val="single" w:sz="4" w:space="0" w:color="auto"/>
              <w:bottom w:val="single" w:sz="4" w:space="0" w:color="auto"/>
              <w:right w:val="single" w:sz="4" w:space="0" w:color="auto"/>
            </w:tcBorders>
            <w:hideMark/>
          </w:tcPr>
          <w:p w14:paraId="13539FA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Krajowa Izba Biegłych Rewidentów</w:t>
            </w:r>
          </w:p>
        </w:tc>
      </w:tr>
      <w:tr w:rsidR="00095CB0" w:rsidRPr="00095CB0" w14:paraId="25C57B22" w14:textId="77777777" w:rsidTr="00095CB0">
        <w:trPr>
          <w:trHeight w:val="913"/>
        </w:trPr>
        <w:tc>
          <w:tcPr>
            <w:tcW w:w="4219" w:type="dxa"/>
            <w:tcBorders>
              <w:top w:val="single" w:sz="4" w:space="0" w:color="auto"/>
              <w:left w:val="single" w:sz="4" w:space="0" w:color="auto"/>
              <w:bottom w:val="single" w:sz="4" w:space="0" w:color="auto"/>
              <w:right w:val="single" w:sz="4" w:space="0" w:color="auto"/>
            </w:tcBorders>
            <w:hideMark/>
          </w:tcPr>
          <w:p w14:paraId="3571FA7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Logistyk</w:t>
            </w:r>
          </w:p>
        </w:tc>
        <w:tc>
          <w:tcPr>
            <w:tcW w:w="5103" w:type="dxa"/>
            <w:tcBorders>
              <w:top w:val="single" w:sz="4" w:space="0" w:color="auto"/>
              <w:left w:val="single" w:sz="4" w:space="0" w:color="auto"/>
              <w:bottom w:val="single" w:sz="4" w:space="0" w:color="auto"/>
              <w:right w:val="single" w:sz="4" w:space="0" w:color="auto"/>
            </w:tcBorders>
            <w:hideMark/>
          </w:tcPr>
          <w:p w14:paraId="70A2849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Krajowa Organizacja Certyfikująca Europejskiego Towarzystwa Logistycznego (Egzaminy przeprowadza Instytut Logistyki i Magazynowania)</w:t>
            </w:r>
          </w:p>
        </w:tc>
      </w:tr>
      <w:tr w:rsidR="00095CB0" w:rsidRPr="00095CB0" w14:paraId="3A5A61C8" w14:textId="77777777" w:rsidTr="00095CB0">
        <w:trPr>
          <w:trHeight w:val="717"/>
        </w:trPr>
        <w:tc>
          <w:tcPr>
            <w:tcW w:w="4219" w:type="dxa"/>
            <w:tcBorders>
              <w:top w:val="single" w:sz="4" w:space="0" w:color="auto"/>
              <w:left w:val="single" w:sz="4" w:space="0" w:color="auto"/>
              <w:bottom w:val="single" w:sz="4" w:space="0" w:color="auto"/>
              <w:right w:val="single" w:sz="4" w:space="0" w:color="auto"/>
            </w:tcBorders>
          </w:tcPr>
          <w:p w14:paraId="24119EF2"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Operator wózka widłowego</w:t>
            </w:r>
          </w:p>
          <w:p w14:paraId="530B6A5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77FBE0A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Urząd Dozoru Technicznego lub</w:t>
            </w:r>
          </w:p>
          <w:p w14:paraId="14E5437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Instytut Mechanizacji Budownictwa i Górnictwa Skalnego</w:t>
            </w:r>
          </w:p>
        </w:tc>
      </w:tr>
      <w:tr w:rsidR="00095CB0" w:rsidRPr="00095CB0" w14:paraId="6C62E223" w14:textId="77777777" w:rsidTr="00095CB0">
        <w:trPr>
          <w:trHeight w:val="199"/>
        </w:trPr>
        <w:tc>
          <w:tcPr>
            <w:tcW w:w="4219" w:type="dxa"/>
            <w:tcBorders>
              <w:top w:val="single" w:sz="4" w:space="0" w:color="auto"/>
              <w:left w:val="single" w:sz="4" w:space="0" w:color="auto"/>
              <w:bottom w:val="single" w:sz="4" w:space="0" w:color="auto"/>
              <w:right w:val="single" w:sz="4" w:space="0" w:color="auto"/>
            </w:tcBorders>
            <w:hideMark/>
          </w:tcPr>
          <w:p w14:paraId="386613E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Agent ubezpieczeń</w:t>
            </w:r>
          </w:p>
        </w:tc>
        <w:tc>
          <w:tcPr>
            <w:tcW w:w="5103" w:type="dxa"/>
            <w:tcBorders>
              <w:top w:val="single" w:sz="4" w:space="0" w:color="auto"/>
              <w:left w:val="single" w:sz="4" w:space="0" w:color="auto"/>
              <w:bottom w:val="single" w:sz="4" w:space="0" w:color="auto"/>
              <w:right w:val="single" w:sz="4" w:space="0" w:color="auto"/>
            </w:tcBorders>
            <w:hideMark/>
          </w:tcPr>
          <w:p w14:paraId="3F16E52E"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Komisja Nadzoru Finansowego (Egzaminy przeprowadza Zakład Ubezpieczeń)</w:t>
            </w:r>
          </w:p>
        </w:tc>
      </w:tr>
      <w:tr w:rsidR="00095CB0" w:rsidRPr="00095CB0" w14:paraId="7E1FDCED" w14:textId="77777777" w:rsidTr="00095CB0">
        <w:trPr>
          <w:trHeight w:val="253"/>
        </w:trPr>
        <w:tc>
          <w:tcPr>
            <w:tcW w:w="4219" w:type="dxa"/>
            <w:tcBorders>
              <w:top w:val="single" w:sz="4" w:space="0" w:color="auto"/>
              <w:left w:val="single" w:sz="4" w:space="0" w:color="auto"/>
              <w:bottom w:val="single" w:sz="4" w:space="0" w:color="auto"/>
              <w:right w:val="single" w:sz="4" w:space="0" w:color="auto"/>
            </w:tcBorders>
            <w:hideMark/>
          </w:tcPr>
          <w:p w14:paraId="288A3D0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Uprawnienie tankowania gazu LPG na stacjach paliw</w:t>
            </w:r>
          </w:p>
        </w:tc>
        <w:tc>
          <w:tcPr>
            <w:tcW w:w="5103" w:type="dxa"/>
            <w:tcBorders>
              <w:top w:val="single" w:sz="4" w:space="0" w:color="auto"/>
              <w:left w:val="single" w:sz="4" w:space="0" w:color="auto"/>
              <w:bottom w:val="single" w:sz="4" w:space="0" w:color="auto"/>
              <w:right w:val="single" w:sz="4" w:space="0" w:color="auto"/>
            </w:tcBorders>
            <w:hideMark/>
          </w:tcPr>
          <w:p w14:paraId="5A54B13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Transportowy Dozór Techniczny</w:t>
            </w:r>
          </w:p>
        </w:tc>
      </w:tr>
      <w:tr w:rsidR="00095CB0" w:rsidRPr="00095CB0" w14:paraId="6B81589B" w14:textId="77777777" w:rsidTr="00095CB0">
        <w:trPr>
          <w:trHeight w:val="276"/>
        </w:trPr>
        <w:tc>
          <w:tcPr>
            <w:tcW w:w="4219" w:type="dxa"/>
            <w:tcBorders>
              <w:top w:val="single" w:sz="4" w:space="0" w:color="auto"/>
              <w:left w:val="single" w:sz="4" w:space="0" w:color="auto"/>
              <w:bottom w:val="single" w:sz="4" w:space="0" w:color="auto"/>
              <w:right w:val="single" w:sz="4" w:space="0" w:color="auto"/>
            </w:tcBorders>
            <w:hideMark/>
          </w:tcPr>
          <w:p w14:paraId="276B6EA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Tłumacz przysięgły</w:t>
            </w:r>
          </w:p>
        </w:tc>
        <w:tc>
          <w:tcPr>
            <w:tcW w:w="5103" w:type="dxa"/>
            <w:tcBorders>
              <w:top w:val="single" w:sz="4" w:space="0" w:color="auto"/>
              <w:left w:val="single" w:sz="4" w:space="0" w:color="auto"/>
              <w:bottom w:val="single" w:sz="4" w:space="0" w:color="auto"/>
              <w:right w:val="single" w:sz="4" w:space="0" w:color="auto"/>
            </w:tcBorders>
            <w:hideMark/>
          </w:tcPr>
          <w:p w14:paraId="5F80CE9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 xml:space="preserve">Minister Sprawiedliwości (Egzaminy przeprowadza </w:t>
            </w:r>
            <w:r w:rsidRPr="00095CB0">
              <w:rPr>
                <w:rFonts w:asciiTheme="minorHAnsi" w:hAnsiTheme="minorHAnsi" w:cstheme="minorHAnsi"/>
                <w:color w:val="auto"/>
                <w:lang w:eastAsia="en-US"/>
              </w:rPr>
              <w:lastRenderedPageBreak/>
              <w:t>Państwowa Komisja Egzaminacyjna)</w:t>
            </w:r>
          </w:p>
        </w:tc>
      </w:tr>
      <w:tr w:rsidR="00095CB0" w:rsidRPr="00095CB0" w14:paraId="717B6F96" w14:textId="77777777" w:rsidTr="00095CB0">
        <w:trPr>
          <w:trHeight w:val="334"/>
        </w:trPr>
        <w:tc>
          <w:tcPr>
            <w:tcW w:w="4219" w:type="dxa"/>
            <w:tcBorders>
              <w:top w:val="single" w:sz="4" w:space="0" w:color="auto"/>
              <w:left w:val="single" w:sz="4" w:space="0" w:color="auto"/>
              <w:bottom w:val="single" w:sz="4" w:space="0" w:color="auto"/>
              <w:right w:val="single" w:sz="4" w:space="0" w:color="auto"/>
            </w:tcBorders>
            <w:hideMark/>
          </w:tcPr>
          <w:p w14:paraId="5C311A8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lastRenderedPageBreak/>
              <w:t>Barman</w:t>
            </w:r>
          </w:p>
        </w:tc>
        <w:tc>
          <w:tcPr>
            <w:tcW w:w="5103" w:type="dxa"/>
            <w:tcBorders>
              <w:top w:val="single" w:sz="4" w:space="0" w:color="auto"/>
              <w:left w:val="single" w:sz="4" w:space="0" w:color="auto"/>
              <w:bottom w:val="single" w:sz="4" w:space="0" w:color="auto"/>
              <w:right w:val="single" w:sz="4" w:space="0" w:color="auto"/>
            </w:tcBorders>
            <w:hideMark/>
          </w:tcPr>
          <w:p w14:paraId="62D3C6B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Stowarzyszenie Polskich Barmanów</w:t>
            </w:r>
          </w:p>
        </w:tc>
      </w:tr>
      <w:tr w:rsidR="00095CB0" w:rsidRPr="00095CB0" w14:paraId="76DA0175" w14:textId="77777777" w:rsidTr="00095CB0">
        <w:trPr>
          <w:trHeight w:val="248"/>
        </w:trPr>
        <w:tc>
          <w:tcPr>
            <w:tcW w:w="4219" w:type="dxa"/>
            <w:tcBorders>
              <w:top w:val="single" w:sz="4" w:space="0" w:color="auto"/>
              <w:left w:val="single" w:sz="4" w:space="0" w:color="auto"/>
              <w:bottom w:val="single" w:sz="4" w:space="0" w:color="auto"/>
              <w:right w:val="single" w:sz="4" w:space="0" w:color="auto"/>
            </w:tcBorders>
            <w:hideMark/>
          </w:tcPr>
          <w:p w14:paraId="2774B92A"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 xml:space="preserve">Operator żurawi wieżowych </w:t>
            </w:r>
          </w:p>
        </w:tc>
        <w:tc>
          <w:tcPr>
            <w:tcW w:w="5103" w:type="dxa"/>
            <w:tcBorders>
              <w:top w:val="single" w:sz="4" w:space="0" w:color="auto"/>
              <w:left w:val="single" w:sz="4" w:space="0" w:color="auto"/>
              <w:bottom w:val="single" w:sz="4" w:space="0" w:color="auto"/>
              <w:right w:val="single" w:sz="4" w:space="0" w:color="auto"/>
            </w:tcBorders>
            <w:hideMark/>
          </w:tcPr>
          <w:p w14:paraId="43F05AD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Urząd Dozoru Technicznego</w:t>
            </w:r>
          </w:p>
        </w:tc>
      </w:tr>
      <w:tr w:rsidR="00095CB0" w:rsidRPr="00095CB0" w14:paraId="35B935AB" w14:textId="77777777" w:rsidTr="00095CB0">
        <w:trPr>
          <w:trHeight w:val="164"/>
        </w:trPr>
        <w:tc>
          <w:tcPr>
            <w:tcW w:w="4219" w:type="dxa"/>
            <w:tcBorders>
              <w:top w:val="single" w:sz="4" w:space="0" w:color="auto"/>
              <w:left w:val="single" w:sz="4" w:space="0" w:color="auto"/>
              <w:bottom w:val="single" w:sz="4" w:space="0" w:color="auto"/>
              <w:right w:val="single" w:sz="4" w:space="0" w:color="auto"/>
            </w:tcBorders>
            <w:hideMark/>
          </w:tcPr>
          <w:p w14:paraId="2476E26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Operator urządzeń transportu bliskiego – podesty ruchome przejezdne</w:t>
            </w:r>
          </w:p>
        </w:tc>
        <w:tc>
          <w:tcPr>
            <w:tcW w:w="5103" w:type="dxa"/>
            <w:tcBorders>
              <w:top w:val="single" w:sz="4" w:space="0" w:color="auto"/>
              <w:left w:val="single" w:sz="4" w:space="0" w:color="auto"/>
              <w:bottom w:val="single" w:sz="4" w:space="0" w:color="auto"/>
              <w:right w:val="single" w:sz="4" w:space="0" w:color="auto"/>
            </w:tcBorders>
            <w:hideMark/>
          </w:tcPr>
          <w:p w14:paraId="7FD8A83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Urząd Dozoru Technicznego</w:t>
            </w:r>
          </w:p>
        </w:tc>
      </w:tr>
      <w:tr w:rsidR="00095CB0" w:rsidRPr="00095CB0" w14:paraId="77BFB4D6" w14:textId="77777777" w:rsidTr="00095CB0">
        <w:trPr>
          <w:trHeight w:val="578"/>
        </w:trPr>
        <w:tc>
          <w:tcPr>
            <w:tcW w:w="4219" w:type="dxa"/>
            <w:tcBorders>
              <w:top w:val="single" w:sz="4" w:space="0" w:color="auto"/>
              <w:left w:val="single" w:sz="4" w:space="0" w:color="auto"/>
              <w:bottom w:val="single" w:sz="4" w:space="0" w:color="auto"/>
              <w:right w:val="single" w:sz="4" w:space="0" w:color="auto"/>
            </w:tcBorders>
            <w:hideMark/>
          </w:tcPr>
          <w:p w14:paraId="1D4CC142"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Uprawnienie do wykonywania zawodu Siostry PCK</w:t>
            </w:r>
          </w:p>
        </w:tc>
        <w:tc>
          <w:tcPr>
            <w:tcW w:w="5103" w:type="dxa"/>
            <w:tcBorders>
              <w:top w:val="single" w:sz="4" w:space="0" w:color="auto"/>
              <w:left w:val="single" w:sz="4" w:space="0" w:color="auto"/>
              <w:bottom w:val="single" w:sz="4" w:space="0" w:color="auto"/>
              <w:right w:val="single" w:sz="4" w:space="0" w:color="auto"/>
            </w:tcBorders>
            <w:hideMark/>
          </w:tcPr>
          <w:p w14:paraId="249EB62D"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Polski Czerwony Krzyż</w:t>
            </w:r>
          </w:p>
        </w:tc>
      </w:tr>
      <w:tr w:rsidR="00095CB0" w:rsidRPr="00095CB0" w14:paraId="2173A6E4" w14:textId="77777777" w:rsidTr="00095CB0">
        <w:trPr>
          <w:trHeight w:val="210"/>
        </w:trPr>
        <w:tc>
          <w:tcPr>
            <w:tcW w:w="4219" w:type="dxa"/>
            <w:tcBorders>
              <w:top w:val="single" w:sz="4" w:space="0" w:color="auto"/>
              <w:left w:val="single" w:sz="4" w:space="0" w:color="auto"/>
              <w:bottom w:val="single" w:sz="4" w:space="0" w:color="auto"/>
              <w:right w:val="single" w:sz="4" w:space="0" w:color="auto"/>
            </w:tcBorders>
            <w:hideMark/>
          </w:tcPr>
          <w:p w14:paraId="1089637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Elektryk</w:t>
            </w:r>
          </w:p>
        </w:tc>
        <w:tc>
          <w:tcPr>
            <w:tcW w:w="5103" w:type="dxa"/>
            <w:tcBorders>
              <w:top w:val="single" w:sz="4" w:space="0" w:color="auto"/>
              <w:left w:val="single" w:sz="4" w:space="0" w:color="auto"/>
              <w:bottom w:val="single" w:sz="4" w:space="0" w:color="auto"/>
              <w:right w:val="single" w:sz="4" w:space="0" w:color="auto"/>
            </w:tcBorders>
            <w:hideMark/>
          </w:tcPr>
          <w:p w14:paraId="01B8968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Urząd Regulacji Energetyki</w:t>
            </w:r>
          </w:p>
        </w:tc>
      </w:tr>
      <w:tr w:rsidR="00095CB0" w:rsidRPr="00095CB0" w14:paraId="647FC886" w14:textId="77777777" w:rsidTr="00095CB0">
        <w:trPr>
          <w:trHeight w:val="242"/>
        </w:trPr>
        <w:tc>
          <w:tcPr>
            <w:tcW w:w="4219" w:type="dxa"/>
            <w:tcBorders>
              <w:top w:val="single" w:sz="4" w:space="0" w:color="auto"/>
              <w:left w:val="single" w:sz="4" w:space="0" w:color="auto"/>
              <w:bottom w:val="single" w:sz="4" w:space="0" w:color="auto"/>
              <w:right w:val="single" w:sz="4" w:space="0" w:color="auto"/>
            </w:tcBorders>
            <w:hideMark/>
          </w:tcPr>
          <w:p w14:paraId="6CD6373E"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b/>
                <w:color w:val="auto"/>
                <w:lang w:eastAsia="en-US"/>
              </w:rPr>
            </w:pPr>
            <w:r w:rsidRPr="00095CB0">
              <w:rPr>
                <w:rFonts w:asciiTheme="minorHAnsi" w:hAnsiTheme="minorHAnsi" w:cstheme="minorHAnsi"/>
                <w:b/>
                <w:color w:val="auto"/>
                <w:lang w:eastAsia="en-US"/>
              </w:rPr>
              <w:t>Palacz kotłów CO</w:t>
            </w:r>
          </w:p>
        </w:tc>
        <w:tc>
          <w:tcPr>
            <w:tcW w:w="5103" w:type="dxa"/>
            <w:tcBorders>
              <w:top w:val="single" w:sz="4" w:space="0" w:color="auto"/>
              <w:left w:val="single" w:sz="4" w:space="0" w:color="auto"/>
              <w:bottom w:val="single" w:sz="4" w:space="0" w:color="auto"/>
              <w:right w:val="single" w:sz="4" w:space="0" w:color="auto"/>
            </w:tcBorders>
            <w:hideMark/>
          </w:tcPr>
          <w:p w14:paraId="7112422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Urząd Regulacji Energetyki</w:t>
            </w:r>
          </w:p>
        </w:tc>
      </w:tr>
    </w:tbl>
    <w:p w14:paraId="153CA31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p>
    <w:p w14:paraId="524A2843"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Wykazane powyżej instytucje certyfikujące i kwalifikacje stanowią jedynie przykłady i nie należy ich traktować jako zamkniętej listy.</w:t>
      </w:r>
    </w:p>
    <w:p w14:paraId="01F769EF"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Informacje nt. instytucji certyfikujących osoby, akredytowanych przez Polskie Centrum Akredytacji, można znaleźć na stronie internetowej </w:t>
      </w:r>
      <w:hyperlink r:id="rId9" w:history="1">
        <w:r w:rsidRPr="00095CB0">
          <w:rPr>
            <w:rFonts w:asciiTheme="minorHAnsi" w:hAnsiTheme="minorHAnsi" w:cstheme="minorHAnsi"/>
            <w:color w:val="0000FF"/>
            <w:u w:val="single"/>
            <w:lang w:eastAsia="en-US"/>
          </w:rPr>
          <w:t>www.pca.gov.pl</w:t>
        </w:r>
      </w:hyperlink>
      <w:r w:rsidRPr="00095CB0">
        <w:rPr>
          <w:rFonts w:asciiTheme="minorHAnsi" w:hAnsiTheme="minorHAnsi" w:cstheme="minorHAnsi"/>
          <w:color w:val="auto"/>
          <w:lang w:eastAsia="en-US"/>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0BA7B644"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p>
    <w:p w14:paraId="3C080A46"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heme="minorHAnsi" w:hAnsiTheme="minorHAnsi" w:cstheme="minorHAnsi"/>
          <w:b/>
          <w:color w:val="auto"/>
          <w:lang w:eastAsia="en-US"/>
        </w:rPr>
      </w:pPr>
      <w:r w:rsidRPr="00095CB0">
        <w:rPr>
          <w:rFonts w:asciiTheme="minorHAnsi" w:hAnsiTheme="minorHAnsi" w:cstheme="minorHAnsi"/>
          <w:b/>
          <w:color w:val="auto"/>
          <w:lang w:eastAsia="en-US"/>
        </w:rPr>
        <w:t>Lista sprawdzająca do weryfikacji czy dany dokument można uznać za potwierdzający kwalifikację na potrzeby mierzenia wskaźników monitorowania EFS dot. uzyskiwania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740"/>
      </w:tblGrid>
      <w:tr w:rsidR="00095CB0" w:rsidRPr="00095CB0" w14:paraId="4F19B0B1" w14:textId="77777777" w:rsidTr="00095CB0">
        <w:tc>
          <w:tcPr>
            <w:tcW w:w="7621" w:type="dxa"/>
            <w:tcBorders>
              <w:top w:val="single" w:sz="4" w:space="0" w:color="auto"/>
              <w:left w:val="single" w:sz="4" w:space="0" w:color="auto"/>
              <w:bottom w:val="single" w:sz="4" w:space="0" w:color="auto"/>
              <w:right w:val="single" w:sz="4" w:space="0" w:color="auto"/>
            </w:tcBorders>
            <w:shd w:val="clear" w:color="auto" w:fill="E36C0A"/>
            <w:hideMark/>
          </w:tcPr>
          <w:p w14:paraId="1B7EF96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heme="minorHAnsi" w:hAnsiTheme="minorHAnsi" w:cstheme="minorHAnsi"/>
                <w:b/>
                <w:color w:val="FFFFFF"/>
                <w:lang w:eastAsia="en-US"/>
              </w:rPr>
            </w:pPr>
            <w:r w:rsidRPr="00095CB0">
              <w:rPr>
                <w:rFonts w:asciiTheme="minorHAnsi" w:hAnsiTheme="minorHAnsi" w:cstheme="minorHAnsi"/>
                <w:b/>
                <w:color w:val="FFFFFF"/>
                <w:lang w:eastAsia="en-US"/>
              </w:rPr>
              <w:t>Pytanie</w:t>
            </w:r>
          </w:p>
        </w:tc>
        <w:tc>
          <w:tcPr>
            <w:tcW w:w="851" w:type="dxa"/>
            <w:tcBorders>
              <w:top w:val="single" w:sz="4" w:space="0" w:color="auto"/>
              <w:left w:val="single" w:sz="4" w:space="0" w:color="auto"/>
              <w:bottom w:val="single" w:sz="4" w:space="0" w:color="auto"/>
              <w:right w:val="single" w:sz="4" w:space="0" w:color="auto"/>
            </w:tcBorders>
            <w:shd w:val="clear" w:color="auto" w:fill="E36C0A"/>
            <w:hideMark/>
          </w:tcPr>
          <w:p w14:paraId="7133017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heme="minorHAnsi" w:hAnsiTheme="minorHAnsi" w:cstheme="minorHAnsi"/>
                <w:b/>
                <w:color w:val="FFFFFF"/>
                <w:lang w:eastAsia="en-US"/>
              </w:rPr>
            </w:pPr>
            <w:r w:rsidRPr="00095CB0">
              <w:rPr>
                <w:rFonts w:asciiTheme="minorHAnsi" w:hAnsiTheme="minorHAnsi" w:cstheme="minorHAnsi"/>
                <w:b/>
                <w:color w:val="FFFFFF"/>
                <w:lang w:eastAsia="en-US"/>
              </w:rPr>
              <w:t>TAK</w:t>
            </w:r>
          </w:p>
        </w:tc>
        <w:tc>
          <w:tcPr>
            <w:tcW w:w="740" w:type="dxa"/>
            <w:tcBorders>
              <w:top w:val="single" w:sz="4" w:space="0" w:color="auto"/>
              <w:left w:val="single" w:sz="4" w:space="0" w:color="auto"/>
              <w:bottom w:val="single" w:sz="4" w:space="0" w:color="auto"/>
              <w:right w:val="single" w:sz="4" w:space="0" w:color="auto"/>
            </w:tcBorders>
            <w:shd w:val="clear" w:color="auto" w:fill="E36C0A"/>
            <w:hideMark/>
          </w:tcPr>
          <w:p w14:paraId="4CCC27A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heme="minorHAnsi" w:hAnsiTheme="minorHAnsi" w:cstheme="minorHAnsi"/>
                <w:b/>
                <w:color w:val="FFFFFF"/>
                <w:lang w:eastAsia="en-US"/>
              </w:rPr>
            </w:pPr>
            <w:r w:rsidRPr="00095CB0">
              <w:rPr>
                <w:rFonts w:asciiTheme="minorHAnsi" w:hAnsiTheme="minorHAnsi" w:cstheme="minorHAnsi"/>
                <w:b/>
                <w:color w:val="FFFFFF"/>
                <w:lang w:eastAsia="en-US"/>
              </w:rPr>
              <w:t>NIE</w:t>
            </w:r>
          </w:p>
        </w:tc>
      </w:tr>
      <w:tr w:rsidR="00095CB0" w:rsidRPr="00095CB0" w14:paraId="36673C76" w14:textId="77777777" w:rsidTr="00095CB0">
        <w:tc>
          <w:tcPr>
            <w:tcW w:w="9212" w:type="dxa"/>
            <w:gridSpan w:val="3"/>
            <w:tcBorders>
              <w:top w:val="single" w:sz="4" w:space="0" w:color="auto"/>
              <w:left w:val="single" w:sz="4" w:space="0" w:color="auto"/>
              <w:bottom w:val="single" w:sz="4" w:space="0" w:color="auto"/>
              <w:right w:val="single" w:sz="4" w:space="0" w:color="auto"/>
            </w:tcBorders>
            <w:shd w:val="clear" w:color="auto" w:fill="FBD4B4"/>
            <w:hideMark/>
          </w:tcPr>
          <w:p w14:paraId="279C68A5" w14:textId="77777777" w:rsidR="00095CB0" w:rsidRPr="00095CB0" w:rsidRDefault="00095CB0" w:rsidP="00095CB0">
            <w:pPr>
              <w:numPr>
                <w:ilvl w:val="0"/>
                <w:numId w:val="2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Uznawane kwalifikacje</w:t>
            </w:r>
          </w:p>
        </w:tc>
      </w:tr>
      <w:tr w:rsidR="00095CB0" w:rsidRPr="00095CB0" w14:paraId="6B040CBD" w14:textId="77777777" w:rsidTr="00095CB0">
        <w:tc>
          <w:tcPr>
            <w:tcW w:w="7621" w:type="dxa"/>
            <w:tcBorders>
              <w:top w:val="single" w:sz="4" w:space="0" w:color="auto"/>
              <w:left w:val="single" w:sz="4" w:space="0" w:color="auto"/>
              <w:bottom w:val="single" w:sz="4" w:space="0" w:color="auto"/>
              <w:right w:val="single" w:sz="4" w:space="0" w:color="auto"/>
            </w:tcBorders>
            <w:hideMark/>
          </w:tcPr>
          <w:p w14:paraId="31874F63" w14:textId="77777777" w:rsidR="00095CB0" w:rsidRPr="00095CB0" w:rsidRDefault="00095CB0" w:rsidP="00095CB0">
            <w:pPr>
              <w:numPr>
                <w:ilvl w:val="0"/>
                <w:numId w:val="2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Czy wydany dokument jest potwierdzeniem uzyskania kwalifikacji w zawodzie?</w:t>
            </w:r>
          </w:p>
        </w:tc>
        <w:tc>
          <w:tcPr>
            <w:tcW w:w="851" w:type="dxa"/>
            <w:tcBorders>
              <w:top w:val="single" w:sz="4" w:space="0" w:color="auto"/>
              <w:left w:val="single" w:sz="4" w:space="0" w:color="auto"/>
              <w:bottom w:val="single" w:sz="4" w:space="0" w:color="auto"/>
              <w:right w:val="single" w:sz="4" w:space="0" w:color="auto"/>
            </w:tcBorders>
          </w:tcPr>
          <w:p w14:paraId="2EFD5E9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c>
          <w:tcPr>
            <w:tcW w:w="740" w:type="dxa"/>
            <w:tcBorders>
              <w:top w:val="single" w:sz="4" w:space="0" w:color="auto"/>
              <w:left w:val="single" w:sz="4" w:space="0" w:color="auto"/>
              <w:bottom w:val="single" w:sz="4" w:space="0" w:color="auto"/>
              <w:right w:val="single" w:sz="4" w:space="0" w:color="auto"/>
            </w:tcBorders>
          </w:tcPr>
          <w:p w14:paraId="492351C0"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r>
      <w:tr w:rsidR="00095CB0" w:rsidRPr="00095CB0" w14:paraId="335505B7" w14:textId="77777777" w:rsidTr="00095CB0">
        <w:tc>
          <w:tcPr>
            <w:tcW w:w="7621" w:type="dxa"/>
            <w:tcBorders>
              <w:top w:val="single" w:sz="4" w:space="0" w:color="auto"/>
              <w:left w:val="single" w:sz="4" w:space="0" w:color="auto"/>
              <w:bottom w:val="single" w:sz="4" w:space="0" w:color="auto"/>
              <w:right w:val="single" w:sz="4" w:space="0" w:color="auto"/>
            </w:tcBorders>
            <w:hideMark/>
          </w:tcPr>
          <w:p w14:paraId="15698E46" w14:textId="77777777" w:rsidR="00095CB0" w:rsidRPr="00095CB0" w:rsidRDefault="00095CB0" w:rsidP="00095CB0">
            <w:pPr>
              <w:numPr>
                <w:ilvl w:val="0"/>
                <w:numId w:val="2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Czy dokument został wydany przez organy władz publicznych lub samorządów zawodowych na podstawie ustawy lub rozporządzenia?</w:t>
            </w:r>
          </w:p>
        </w:tc>
        <w:tc>
          <w:tcPr>
            <w:tcW w:w="851" w:type="dxa"/>
            <w:tcBorders>
              <w:top w:val="single" w:sz="4" w:space="0" w:color="auto"/>
              <w:left w:val="single" w:sz="4" w:space="0" w:color="auto"/>
              <w:bottom w:val="single" w:sz="4" w:space="0" w:color="auto"/>
              <w:right w:val="single" w:sz="4" w:space="0" w:color="auto"/>
            </w:tcBorders>
          </w:tcPr>
          <w:p w14:paraId="0D83BE3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c>
          <w:tcPr>
            <w:tcW w:w="740" w:type="dxa"/>
            <w:tcBorders>
              <w:top w:val="single" w:sz="4" w:space="0" w:color="auto"/>
              <w:left w:val="single" w:sz="4" w:space="0" w:color="auto"/>
              <w:bottom w:val="single" w:sz="4" w:space="0" w:color="auto"/>
              <w:right w:val="single" w:sz="4" w:space="0" w:color="auto"/>
            </w:tcBorders>
          </w:tcPr>
          <w:p w14:paraId="122512F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r>
      <w:tr w:rsidR="00095CB0" w:rsidRPr="00095CB0" w14:paraId="006EE2FD" w14:textId="77777777" w:rsidTr="00095CB0">
        <w:tc>
          <w:tcPr>
            <w:tcW w:w="7621" w:type="dxa"/>
            <w:tcBorders>
              <w:top w:val="single" w:sz="4" w:space="0" w:color="auto"/>
              <w:left w:val="single" w:sz="4" w:space="0" w:color="auto"/>
              <w:bottom w:val="single" w:sz="4" w:space="0" w:color="auto"/>
              <w:right w:val="single" w:sz="4" w:space="0" w:color="auto"/>
            </w:tcBorders>
            <w:hideMark/>
          </w:tcPr>
          <w:p w14:paraId="5FC9069C" w14:textId="77777777" w:rsidR="00095CB0" w:rsidRPr="00095CB0" w:rsidRDefault="00095CB0" w:rsidP="00095CB0">
            <w:pPr>
              <w:numPr>
                <w:ilvl w:val="0"/>
                <w:numId w:val="2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Czy dokument potwierdza uprawnienia do wykonywania zawodu na danym stanowisku (tzw. uprawnienia stanowiskowe) i jest wydawany po przeprowadzeniu walidacji?</w:t>
            </w:r>
          </w:p>
        </w:tc>
        <w:tc>
          <w:tcPr>
            <w:tcW w:w="851" w:type="dxa"/>
            <w:tcBorders>
              <w:top w:val="single" w:sz="4" w:space="0" w:color="auto"/>
              <w:left w:val="single" w:sz="4" w:space="0" w:color="auto"/>
              <w:bottom w:val="single" w:sz="4" w:space="0" w:color="auto"/>
              <w:right w:val="single" w:sz="4" w:space="0" w:color="auto"/>
            </w:tcBorders>
          </w:tcPr>
          <w:p w14:paraId="3E0F734D"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c>
          <w:tcPr>
            <w:tcW w:w="740" w:type="dxa"/>
            <w:tcBorders>
              <w:top w:val="single" w:sz="4" w:space="0" w:color="auto"/>
              <w:left w:val="single" w:sz="4" w:space="0" w:color="auto"/>
              <w:bottom w:val="single" w:sz="4" w:space="0" w:color="auto"/>
              <w:right w:val="single" w:sz="4" w:space="0" w:color="auto"/>
            </w:tcBorders>
          </w:tcPr>
          <w:p w14:paraId="71C728A3"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r>
      <w:tr w:rsidR="00095CB0" w:rsidRPr="00095CB0" w14:paraId="30FDDFB3" w14:textId="77777777" w:rsidTr="00095CB0">
        <w:tc>
          <w:tcPr>
            <w:tcW w:w="7621" w:type="dxa"/>
            <w:tcBorders>
              <w:top w:val="single" w:sz="4" w:space="0" w:color="auto"/>
              <w:left w:val="single" w:sz="4" w:space="0" w:color="auto"/>
              <w:bottom w:val="single" w:sz="4" w:space="0" w:color="auto"/>
              <w:right w:val="single" w:sz="4" w:space="0" w:color="auto"/>
            </w:tcBorders>
            <w:hideMark/>
          </w:tcPr>
          <w:p w14:paraId="3906BB6F" w14:textId="77777777" w:rsidR="00095CB0" w:rsidRPr="00095CB0" w:rsidRDefault="00095CB0" w:rsidP="00095CB0">
            <w:pPr>
              <w:numPr>
                <w:ilvl w:val="0"/>
                <w:numId w:val="2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Czy dokument jest certyfikatem, dla którego wypracowano system walidacji i certyfikowania efektów uczenia się na poziomie międzynarodowym?</w:t>
            </w:r>
          </w:p>
        </w:tc>
        <w:tc>
          <w:tcPr>
            <w:tcW w:w="851" w:type="dxa"/>
            <w:tcBorders>
              <w:top w:val="single" w:sz="4" w:space="0" w:color="auto"/>
              <w:left w:val="single" w:sz="4" w:space="0" w:color="auto"/>
              <w:bottom w:val="single" w:sz="4" w:space="0" w:color="auto"/>
              <w:right w:val="single" w:sz="4" w:space="0" w:color="auto"/>
            </w:tcBorders>
          </w:tcPr>
          <w:p w14:paraId="52515BA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c>
          <w:tcPr>
            <w:tcW w:w="740" w:type="dxa"/>
            <w:tcBorders>
              <w:top w:val="single" w:sz="4" w:space="0" w:color="auto"/>
              <w:left w:val="single" w:sz="4" w:space="0" w:color="auto"/>
              <w:bottom w:val="single" w:sz="4" w:space="0" w:color="auto"/>
              <w:right w:val="single" w:sz="4" w:space="0" w:color="auto"/>
            </w:tcBorders>
          </w:tcPr>
          <w:p w14:paraId="1636022B"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r>
      <w:tr w:rsidR="00095CB0" w:rsidRPr="00095CB0" w14:paraId="496BA0B6" w14:textId="77777777" w:rsidTr="00095CB0">
        <w:tc>
          <w:tcPr>
            <w:tcW w:w="9212" w:type="dxa"/>
            <w:gridSpan w:val="3"/>
            <w:tcBorders>
              <w:top w:val="single" w:sz="4" w:space="0" w:color="auto"/>
              <w:left w:val="single" w:sz="4" w:space="0" w:color="auto"/>
              <w:bottom w:val="single" w:sz="4" w:space="0" w:color="auto"/>
              <w:right w:val="single" w:sz="4" w:space="0" w:color="auto"/>
            </w:tcBorders>
            <w:hideMark/>
          </w:tcPr>
          <w:p w14:paraId="167B92B9"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 xml:space="preserve">Jeżeli </w:t>
            </w:r>
            <w:r w:rsidRPr="00095CB0">
              <w:rPr>
                <w:rFonts w:asciiTheme="minorHAnsi" w:hAnsiTheme="minorHAnsi" w:cstheme="minorHAnsi"/>
                <w:b/>
                <w:color w:val="auto"/>
                <w:u w:val="single"/>
                <w:lang w:eastAsia="en-US"/>
              </w:rPr>
              <w:t>co najmniej jedna</w:t>
            </w:r>
            <w:r w:rsidRPr="00095CB0">
              <w:rPr>
                <w:rFonts w:asciiTheme="minorHAnsi" w:hAnsiTheme="minorHAnsi" w:cstheme="minorHAnsi"/>
                <w:b/>
                <w:color w:val="auto"/>
                <w:lang w:eastAsia="en-US"/>
              </w:rPr>
              <w:t xml:space="preserve"> z odpowiedzi jest </w:t>
            </w:r>
            <w:r w:rsidRPr="00095CB0">
              <w:rPr>
                <w:rFonts w:asciiTheme="minorHAnsi" w:hAnsiTheme="minorHAnsi" w:cstheme="minorHAnsi"/>
                <w:b/>
                <w:color w:val="auto"/>
                <w:u w:val="single"/>
                <w:lang w:eastAsia="en-US"/>
              </w:rPr>
              <w:t>twierdząca</w:t>
            </w:r>
            <w:r w:rsidRPr="00095CB0">
              <w:rPr>
                <w:rFonts w:asciiTheme="minorHAnsi" w:hAnsiTheme="minorHAnsi" w:cstheme="minorHAnsi"/>
                <w:b/>
                <w:color w:val="auto"/>
                <w:lang w:eastAsia="en-US"/>
              </w:rPr>
              <w:t xml:space="preserve">, </w:t>
            </w:r>
            <w:r w:rsidRPr="00095CB0">
              <w:rPr>
                <w:rFonts w:asciiTheme="minorHAnsi" w:hAnsiTheme="minorHAnsi" w:cstheme="minorHAnsi"/>
                <w:b/>
                <w:color w:val="auto"/>
                <w:u w:val="single"/>
                <w:lang w:eastAsia="en-US"/>
              </w:rPr>
              <w:t xml:space="preserve">dany dokument można uznać za </w:t>
            </w:r>
            <w:r w:rsidRPr="00095CB0">
              <w:rPr>
                <w:rFonts w:asciiTheme="minorHAnsi" w:hAnsiTheme="minorHAnsi" w:cstheme="minorHAnsi"/>
                <w:b/>
                <w:color w:val="auto"/>
                <w:u w:val="single"/>
                <w:lang w:eastAsia="en-US"/>
              </w:rPr>
              <w:lastRenderedPageBreak/>
              <w:t>potwierdzający uzyskanie kwalifikacji.</w:t>
            </w:r>
            <w:r w:rsidRPr="00095CB0">
              <w:rPr>
                <w:rFonts w:asciiTheme="minorHAnsi" w:hAnsiTheme="minorHAnsi" w:cstheme="minorHAnsi"/>
                <w:b/>
                <w:color w:val="auto"/>
                <w:lang w:eastAsia="en-US"/>
              </w:rPr>
              <w:t xml:space="preserve"> </w:t>
            </w:r>
          </w:p>
          <w:p w14:paraId="1DB87BA1"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Jeżeli na żadne z powyższych pytań nie udzielono odpowiedzi  twierdzącej, należy przejść do pkt II.</w:t>
            </w:r>
          </w:p>
        </w:tc>
      </w:tr>
      <w:tr w:rsidR="00095CB0" w:rsidRPr="00095CB0" w14:paraId="6769F266" w14:textId="77777777" w:rsidTr="00095CB0">
        <w:tc>
          <w:tcPr>
            <w:tcW w:w="9212"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41013C0F" w14:textId="77777777" w:rsidR="00095CB0" w:rsidRPr="00095CB0" w:rsidRDefault="00095CB0" w:rsidP="00095CB0">
            <w:pPr>
              <w:numPr>
                <w:ilvl w:val="0"/>
                <w:numId w:val="28"/>
              </w:numPr>
              <w:pBdr>
                <w:top w:val="none" w:sz="0" w:space="0" w:color="auto"/>
                <w:left w:val="none" w:sz="0" w:space="0" w:color="auto"/>
                <w:bottom w:val="none" w:sz="0" w:space="0" w:color="auto"/>
                <w:right w:val="none" w:sz="0" w:space="0" w:color="auto"/>
                <w:between w:val="none" w:sz="0" w:space="0" w:color="auto"/>
              </w:pBdr>
              <w:spacing w:after="200" w:line="276" w:lineRule="auto"/>
              <w:ind w:left="709" w:hanging="349"/>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lastRenderedPageBreak/>
              <w:t>Warunki umożliwiające uznanie danego dokumentu za potwierdzający uzyskanie kwalifikacji</w:t>
            </w:r>
          </w:p>
        </w:tc>
      </w:tr>
      <w:tr w:rsidR="00095CB0" w:rsidRPr="00095CB0" w14:paraId="6F3C7FAF" w14:textId="77777777" w:rsidTr="00095CB0">
        <w:tc>
          <w:tcPr>
            <w:tcW w:w="7621" w:type="dxa"/>
            <w:tcBorders>
              <w:top w:val="single" w:sz="4" w:space="0" w:color="auto"/>
              <w:left w:val="single" w:sz="4" w:space="0" w:color="auto"/>
              <w:bottom w:val="single" w:sz="4" w:space="0" w:color="auto"/>
              <w:right w:val="single" w:sz="4" w:space="0" w:color="auto"/>
            </w:tcBorders>
            <w:hideMark/>
          </w:tcPr>
          <w:p w14:paraId="668522EC" w14:textId="77777777" w:rsidR="00095CB0" w:rsidRPr="00095CB0" w:rsidRDefault="00095CB0" w:rsidP="00095CB0">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Czy dokument potwierdzający uzyskanie kwalifikacji zawiera opis efektów uczenia się?</w:t>
            </w:r>
          </w:p>
        </w:tc>
        <w:tc>
          <w:tcPr>
            <w:tcW w:w="851" w:type="dxa"/>
            <w:tcBorders>
              <w:top w:val="single" w:sz="4" w:space="0" w:color="auto"/>
              <w:left w:val="single" w:sz="4" w:space="0" w:color="auto"/>
              <w:bottom w:val="single" w:sz="4" w:space="0" w:color="auto"/>
              <w:right w:val="single" w:sz="4" w:space="0" w:color="auto"/>
            </w:tcBorders>
          </w:tcPr>
          <w:p w14:paraId="1C9998D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c>
          <w:tcPr>
            <w:tcW w:w="740" w:type="dxa"/>
            <w:tcBorders>
              <w:top w:val="single" w:sz="4" w:space="0" w:color="auto"/>
              <w:left w:val="single" w:sz="4" w:space="0" w:color="auto"/>
              <w:bottom w:val="single" w:sz="4" w:space="0" w:color="auto"/>
              <w:right w:val="single" w:sz="4" w:space="0" w:color="auto"/>
            </w:tcBorders>
          </w:tcPr>
          <w:p w14:paraId="4B89598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r>
      <w:tr w:rsidR="00095CB0" w:rsidRPr="00095CB0" w14:paraId="139EC859" w14:textId="77777777" w:rsidTr="00095CB0">
        <w:tc>
          <w:tcPr>
            <w:tcW w:w="7621" w:type="dxa"/>
            <w:tcBorders>
              <w:top w:val="single" w:sz="4" w:space="0" w:color="auto"/>
              <w:left w:val="single" w:sz="4" w:space="0" w:color="auto"/>
              <w:bottom w:val="single" w:sz="4" w:space="0" w:color="auto"/>
              <w:right w:val="single" w:sz="4" w:space="0" w:color="auto"/>
            </w:tcBorders>
            <w:hideMark/>
          </w:tcPr>
          <w:p w14:paraId="7EFB4F23" w14:textId="77777777" w:rsidR="00095CB0" w:rsidRPr="00095CB0" w:rsidRDefault="00095CB0" w:rsidP="00095CB0">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color w:val="auto"/>
                <w:lang w:eastAsia="en-US"/>
              </w:rPr>
            </w:pPr>
            <w:r w:rsidRPr="00095CB0">
              <w:rPr>
                <w:rFonts w:asciiTheme="minorHAnsi" w:hAnsiTheme="minorHAnsi" w:cstheme="minorHAnsi"/>
                <w:color w:val="auto"/>
                <w:lang w:eastAsia="en-US"/>
              </w:rPr>
              <w:t xml:space="preserve">Czy procesy kształcenia oraz walidacji są realizowane </w:t>
            </w:r>
            <w:r w:rsidRPr="00095CB0">
              <w:rPr>
                <w:rFonts w:asciiTheme="minorHAnsi" w:hAnsiTheme="minorHAnsi" w:cstheme="minorHAnsi"/>
                <w:color w:val="auto"/>
                <w:lang w:eastAsia="en-US"/>
              </w:rPr>
              <w:br/>
              <w:t xml:space="preserve">z zapewnieniem rozdzielności funkcji? </w:t>
            </w:r>
          </w:p>
        </w:tc>
        <w:tc>
          <w:tcPr>
            <w:tcW w:w="851" w:type="dxa"/>
            <w:tcBorders>
              <w:top w:val="single" w:sz="4" w:space="0" w:color="auto"/>
              <w:left w:val="single" w:sz="4" w:space="0" w:color="auto"/>
              <w:bottom w:val="single" w:sz="4" w:space="0" w:color="auto"/>
              <w:right w:val="single" w:sz="4" w:space="0" w:color="auto"/>
            </w:tcBorders>
          </w:tcPr>
          <w:p w14:paraId="0A17E795"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c>
          <w:tcPr>
            <w:tcW w:w="740" w:type="dxa"/>
            <w:tcBorders>
              <w:top w:val="single" w:sz="4" w:space="0" w:color="auto"/>
              <w:left w:val="single" w:sz="4" w:space="0" w:color="auto"/>
              <w:bottom w:val="single" w:sz="4" w:space="0" w:color="auto"/>
              <w:right w:val="single" w:sz="4" w:space="0" w:color="auto"/>
            </w:tcBorders>
          </w:tcPr>
          <w:p w14:paraId="521BE7F7"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r>
      <w:tr w:rsidR="00095CB0" w:rsidRPr="00095CB0" w14:paraId="33E6FE1E" w14:textId="77777777" w:rsidTr="00095CB0">
        <w:tc>
          <w:tcPr>
            <w:tcW w:w="7621" w:type="dxa"/>
            <w:tcBorders>
              <w:top w:val="single" w:sz="4" w:space="0" w:color="auto"/>
              <w:left w:val="single" w:sz="4" w:space="0" w:color="auto"/>
              <w:bottom w:val="single" w:sz="4" w:space="0" w:color="auto"/>
              <w:right w:val="single" w:sz="4" w:space="0" w:color="auto"/>
            </w:tcBorders>
            <w:hideMark/>
          </w:tcPr>
          <w:p w14:paraId="4D78BB19" w14:textId="77777777" w:rsidR="00095CB0" w:rsidRPr="00095CB0" w:rsidRDefault="00095CB0" w:rsidP="00095CB0">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 xml:space="preserve">Czy dokument potwierdzający uzyskanie kwalifikacji jest rozpoznawalny i uznawalny w danej branży/sektorze, tzn. czy otrzymał pozytywne rekomendacje od: </w:t>
            </w:r>
          </w:p>
          <w:p w14:paraId="2BAE93D6" w14:textId="77777777" w:rsidR="00095CB0" w:rsidRPr="00095CB0" w:rsidRDefault="00095CB0" w:rsidP="00095CB0">
            <w:pPr>
              <w:numPr>
                <w:ilvl w:val="0"/>
                <w:numId w:val="3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 xml:space="preserve">co najmniej 5 pracodawców danej branży/ sektorów  lub </w:t>
            </w:r>
          </w:p>
          <w:p w14:paraId="636A45D7" w14:textId="77777777" w:rsidR="00095CB0" w:rsidRPr="00095CB0" w:rsidRDefault="00095CB0" w:rsidP="00095CB0">
            <w:pPr>
              <w:numPr>
                <w:ilvl w:val="0"/>
                <w:numId w:val="3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theme="minorHAnsi"/>
                <w:color w:val="auto"/>
                <w:lang w:eastAsia="en-US"/>
              </w:rPr>
            </w:pPr>
            <w:r w:rsidRPr="00095CB0">
              <w:rPr>
                <w:rFonts w:asciiTheme="minorHAnsi" w:hAnsiTheme="minorHAnsi" w:cstheme="minorHAnsi"/>
                <w:color w:val="auto"/>
                <w:lang w:eastAsia="en-US"/>
              </w:rPr>
              <w:t xml:space="preserve">związku branżowego, zrzeszającego pracodawców danej branży/ sektorów? </w:t>
            </w:r>
          </w:p>
        </w:tc>
        <w:tc>
          <w:tcPr>
            <w:tcW w:w="851" w:type="dxa"/>
            <w:tcBorders>
              <w:top w:val="single" w:sz="4" w:space="0" w:color="auto"/>
              <w:left w:val="single" w:sz="4" w:space="0" w:color="auto"/>
              <w:bottom w:val="single" w:sz="4" w:space="0" w:color="auto"/>
              <w:right w:val="single" w:sz="4" w:space="0" w:color="auto"/>
            </w:tcBorders>
          </w:tcPr>
          <w:p w14:paraId="7F0645C8"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c>
          <w:tcPr>
            <w:tcW w:w="740" w:type="dxa"/>
            <w:tcBorders>
              <w:top w:val="single" w:sz="4" w:space="0" w:color="auto"/>
              <w:left w:val="single" w:sz="4" w:space="0" w:color="auto"/>
              <w:bottom w:val="single" w:sz="4" w:space="0" w:color="auto"/>
              <w:right w:val="single" w:sz="4" w:space="0" w:color="auto"/>
            </w:tcBorders>
          </w:tcPr>
          <w:p w14:paraId="2EB01373"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p>
        </w:tc>
      </w:tr>
      <w:tr w:rsidR="00095CB0" w:rsidRPr="00095CB0" w14:paraId="4C13D0BE" w14:textId="77777777" w:rsidTr="00095CB0">
        <w:tc>
          <w:tcPr>
            <w:tcW w:w="9212" w:type="dxa"/>
            <w:gridSpan w:val="3"/>
            <w:tcBorders>
              <w:top w:val="single" w:sz="4" w:space="0" w:color="auto"/>
              <w:left w:val="single" w:sz="4" w:space="0" w:color="auto"/>
              <w:bottom w:val="single" w:sz="4" w:space="0" w:color="auto"/>
              <w:right w:val="single" w:sz="4" w:space="0" w:color="auto"/>
            </w:tcBorders>
            <w:hideMark/>
          </w:tcPr>
          <w:p w14:paraId="3FAF887C" w14:textId="77777777" w:rsidR="00095CB0" w:rsidRPr="00095CB0" w:rsidRDefault="00095CB0" w:rsidP="00095C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b/>
                <w:color w:val="auto"/>
                <w:lang w:eastAsia="en-US"/>
              </w:rPr>
            </w:pPr>
            <w:r w:rsidRPr="00095CB0">
              <w:rPr>
                <w:rFonts w:asciiTheme="minorHAnsi" w:hAnsiTheme="minorHAnsi" w:cstheme="minorHAnsi"/>
                <w:b/>
                <w:color w:val="auto"/>
                <w:lang w:eastAsia="en-US"/>
              </w:rPr>
              <w:t xml:space="preserve">Jeżeli na </w:t>
            </w:r>
            <w:r w:rsidRPr="00095CB0">
              <w:rPr>
                <w:rFonts w:asciiTheme="minorHAnsi" w:hAnsiTheme="minorHAnsi" w:cstheme="minorHAnsi"/>
                <w:b/>
                <w:color w:val="auto"/>
                <w:u w:val="single"/>
                <w:lang w:eastAsia="en-US"/>
              </w:rPr>
              <w:t>każde</w:t>
            </w:r>
            <w:r w:rsidRPr="00095CB0">
              <w:rPr>
                <w:rFonts w:asciiTheme="minorHAnsi" w:hAnsiTheme="minorHAnsi" w:cstheme="minorHAnsi"/>
                <w:b/>
                <w:color w:val="auto"/>
                <w:lang w:eastAsia="en-US"/>
              </w:rPr>
              <w:t xml:space="preserve"> z powyższych pytań z części II listy odpowiedź jest </w:t>
            </w:r>
            <w:r w:rsidRPr="00095CB0">
              <w:rPr>
                <w:rFonts w:asciiTheme="minorHAnsi" w:hAnsiTheme="minorHAnsi" w:cstheme="minorHAnsi"/>
                <w:b/>
                <w:color w:val="auto"/>
                <w:u w:val="single"/>
                <w:lang w:eastAsia="en-US"/>
              </w:rPr>
              <w:t>twierdząca</w:t>
            </w:r>
            <w:r w:rsidRPr="00095CB0">
              <w:rPr>
                <w:rFonts w:asciiTheme="minorHAnsi" w:hAnsiTheme="minorHAnsi" w:cstheme="minorHAnsi"/>
                <w:b/>
                <w:color w:val="auto"/>
                <w:lang w:eastAsia="en-US"/>
              </w:rPr>
              <w:t>, dany dokument można uznać za potwierdzający uzyskanie kwalifikacji.</w:t>
            </w:r>
          </w:p>
        </w:tc>
      </w:tr>
    </w:tbl>
    <w:p w14:paraId="649F57A7" w14:textId="3BAB3EC3" w:rsidR="0059203A" w:rsidRPr="00095CB0" w:rsidRDefault="0059203A" w:rsidP="00095CB0">
      <w:pPr>
        <w:tabs>
          <w:tab w:val="left" w:pos="6480"/>
        </w:tabs>
        <w:spacing w:line="240" w:lineRule="auto"/>
        <w:rPr>
          <w:rFonts w:asciiTheme="minorHAnsi" w:hAnsiTheme="minorHAnsi" w:cstheme="minorHAnsi"/>
        </w:rPr>
      </w:pPr>
    </w:p>
    <w:sectPr w:rsidR="0059203A" w:rsidRPr="00095CB0" w:rsidSect="0059203A">
      <w:headerReference w:type="default" r:id="rId10"/>
      <w:footerReference w:type="default" r:id="rId11"/>
      <w:headerReference w:type="first" r:id="rId12"/>
      <w:footerReference w:type="first" r:id="rId13"/>
      <w:pgSz w:w="11906" w:h="16838"/>
      <w:pgMar w:top="1134" w:right="1134" w:bottom="1134" w:left="1134" w:header="0" w:footer="113" w:gutter="0"/>
      <w:pgNumType w:start="1"/>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8436E" w15:done="0"/>
  <w15:commentEx w15:paraId="00A8ED71" w15:done="0"/>
  <w15:commentEx w15:paraId="699F4D5F" w15:done="0"/>
  <w15:commentEx w15:paraId="6755B5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4893C" w14:textId="77777777" w:rsidR="00BF5493" w:rsidRDefault="00BF5493">
      <w:pPr>
        <w:spacing w:after="0" w:line="240" w:lineRule="auto"/>
      </w:pPr>
      <w:r>
        <w:separator/>
      </w:r>
    </w:p>
  </w:endnote>
  <w:endnote w:type="continuationSeparator" w:id="0">
    <w:p w14:paraId="1DFE7F2D" w14:textId="77777777" w:rsidR="00BF5493" w:rsidRDefault="00BF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3143" w14:textId="77777777" w:rsidR="001B2045" w:rsidRDefault="00E50750">
    <w:pPr>
      <w:tabs>
        <w:tab w:val="center" w:pos="4536"/>
        <w:tab w:val="right" w:pos="9072"/>
      </w:tabs>
      <w:spacing w:after="0" w:line="240" w:lineRule="auto"/>
      <w:jc w:val="center"/>
      <w:rPr>
        <w:rFonts w:ascii="Arial" w:eastAsia="Arial" w:hAnsi="Arial" w:cs="Arial"/>
      </w:rPr>
    </w:pPr>
    <w:r>
      <w:rPr>
        <w:rFonts w:ascii="Arial" w:eastAsia="Arial" w:hAnsi="Arial" w:cs="Arial"/>
      </w:rPr>
      <w:t>Projekt współfinansowany ze środków Europejskiego Funduszu Społecznego w Ramach Regionalnego Programu Operacyjnego Województwa Dolnośląskiego 2014-2020</w:t>
    </w:r>
  </w:p>
  <w:p w14:paraId="56EEB693" w14:textId="77777777" w:rsidR="001B2045" w:rsidRDefault="001B2045">
    <w:pPr>
      <w:tabs>
        <w:tab w:val="center" w:pos="4536"/>
        <w:tab w:val="right" w:pos="9072"/>
      </w:tabs>
      <w:spacing w:after="567"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D7D9" w14:textId="77777777" w:rsidR="001B2045" w:rsidRDefault="00E50750">
    <w:pPr>
      <w:tabs>
        <w:tab w:val="center" w:pos="4536"/>
        <w:tab w:val="right" w:pos="9072"/>
      </w:tabs>
      <w:spacing w:after="567" w:line="240" w:lineRule="auto"/>
      <w:jc w:val="center"/>
      <w:rPr>
        <w:rFonts w:ascii="Arial" w:eastAsia="Arial" w:hAnsi="Arial" w:cs="Arial"/>
      </w:rPr>
    </w:pPr>
    <w:r>
      <w:rPr>
        <w:rFonts w:ascii="Arial" w:eastAsia="Arial" w:hAnsi="Arial" w:cs="Arial"/>
      </w:rPr>
      <w:t>Projekt współfinansowany ze środków Europejskiego Funduszu Społecznego 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470A8" w14:textId="77777777" w:rsidR="00BF5493" w:rsidRDefault="00BF5493">
      <w:pPr>
        <w:spacing w:after="0" w:line="240" w:lineRule="auto"/>
      </w:pPr>
      <w:r>
        <w:separator/>
      </w:r>
    </w:p>
  </w:footnote>
  <w:footnote w:type="continuationSeparator" w:id="0">
    <w:p w14:paraId="58E2842E" w14:textId="77777777" w:rsidR="00BF5493" w:rsidRDefault="00BF5493">
      <w:pPr>
        <w:spacing w:after="0" w:line="240" w:lineRule="auto"/>
      </w:pPr>
      <w:r>
        <w:continuationSeparator/>
      </w:r>
    </w:p>
  </w:footnote>
  <w:footnote w:id="1">
    <w:p w14:paraId="2F3BDEBE" w14:textId="77777777" w:rsidR="00095CB0" w:rsidRDefault="00095CB0" w:rsidP="00095CB0">
      <w:pPr>
        <w:pStyle w:val="Tekstprzypisudolnego"/>
        <w:spacing w:after="120"/>
        <w:jc w:val="both"/>
        <w:rPr>
          <w:rFonts w:ascii="Arial" w:hAnsi="Arial" w:cs="Arial"/>
          <w:sz w:val="16"/>
          <w:szCs w:val="16"/>
          <w:lang w:eastAsia="en-US"/>
        </w:rPr>
      </w:pPr>
      <w:r>
        <w:rPr>
          <w:rStyle w:val="Odwoanieprzypisudolnego"/>
          <w:sz w:val="16"/>
          <w:szCs w:val="16"/>
        </w:rPr>
        <w:footnoteRef/>
      </w:r>
      <w:r>
        <w:rPr>
          <w:sz w:val="16"/>
          <w:szCs w:val="16"/>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7D0C" w14:textId="77777777" w:rsidR="001B2045" w:rsidRDefault="001B2045">
    <w:pPr>
      <w:widowControl w:val="0"/>
      <w:spacing w:before="567" w:after="0" w:line="276" w:lineRule="auto"/>
    </w:pPr>
  </w:p>
  <w:tbl>
    <w:tblPr>
      <w:tblStyle w:val="a0"/>
      <w:tblW w:w="9720" w:type="dxa"/>
      <w:jc w:val="center"/>
      <w:tblInd w:w="0" w:type="dxa"/>
      <w:tblLayout w:type="fixed"/>
      <w:tblLook w:val="0400" w:firstRow="0" w:lastRow="0" w:firstColumn="0" w:lastColumn="0" w:noHBand="0" w:noVBand="1"/>
    </w:tblPr>
    <w:tblGrid>
      <w:gridCol w:w="2166"/>
      <w:gridCol w:w="1475"/>
      <w:gridCol w:w="3240"/>
      <w:gridCol w:w="2839"/>
    </w:tblGrid>
    <w:tr w:rsidR="001B2045" w14:paraId="146A4081" w14:textId="77777777">
      <w:trPr>
        <w:trHeight w:val="360"/>
        <w:jc w:val="center"/>
      </w:trPr>
      <w:tc>
        <w:tcPr>
          <w:tcW w:w="2166" w:type="dxa"/>
          <w:shd w:val="clear" w:color="auto" w:fill="FFFFFF"/>
          <w:tcMar>
            <w:left w:w="0" w:type="dxa"/>
            <w:right w:w="0" w:type="dxa"/>
          </w:tcMar>
          <w:vAlign w:val="center"/>
        </w:tcPr>
        <w:p w14:paraId="29752587" w14:textId="77777777" w:rsidR="001B2045" w:rsidRDefault="00E50750">
          <w:pPr>
            <w:spacing w:after="0" w:line="240" w:lineRule="auto"/>
          </w:pPr>
          <w:r>
            <w:rPr>
              <w:noProof/>
            </w:rPr>
            <w:drawing>
              <wp:inline distT="0" distB="0" distL="0" distR="0" wp14:anchorId="34483218" wp14:editId="50B69883">
                <wp:extent cx="1038225" cy="542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38225" cy="542925"/>
                        </a:xfrm>
                        <a:prstGeom prst="rect">
                          <a:avLst/>
                        </a:prstGeom>
                        <a:ln/>
                      </pic:spPr>
                    </pic:pic>
                  </a:graphicData>
                </a:graphic>
              </wp:inline>
            </w:drawing>
          </w:r>
        </w:p>
      </w:tc>
      <w:tc>
        <w:tcPr>
          <w:tcW w:w="1475" w:type="dxa"/>
          <w:shd w:val="clear" w:color="auto" w:fill="FFFFFF"/>
          <w:tcMar>
            <w:left w:w="0" w:type="dxa"/>
            <w:right w:w="0" w:type="dxa"/>
          </w:tcMar>
          <w:vAlign w:val="center"/>
        </w:tcPr>
        <w:p w14:paraId="0E2D82BD" w14:textId="77777777" w:rsidR="001B2045" w:rsidRDefault="001B2045">
          <w:pPr>
            <w:spacing w:after="0" w:line="240" w:lineRule="auto"/>
          </w:pPr>
        </w:p>
      </w:tc>
      <w:tc>
        <w:tcPr>
          <w:tcW w:w="3240" w:type="dxa"/>
          <w:shd w:val="clear" w:color="auto" w:fill="FFFFFF"/>
          <w:tcMar>
            <w:left w:w="0" w:type="dxa"/>
            <w:right w:w="0" w:type="dxa"/>
          </w:tcMar>
          <w:vAlign w:val="center"/>
        </w:tcPr>
        <w:p w14:paraId="02FD4636" w14:textId="77777777" w:rsidR="001B2045" w:rsidRDefault="00E50750">
          <w:pPr>
            <w:spacing w:after="0" w:line="240" w:lineRule="auto"/>
          </w:pPr>
          <w:r>
            <w:rPr>
              <w:noProof/>
            </w:rPr>
            <w:drawing>
              <wp:inline distT="0" distB="0" distL="0" distR="0" wp14:anchorId="0805B29C" wp14:editId="5DA1B60E">
                <wp:extent cx="1190625" cy="4286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90625" cy="428625"/>
                        </a:xfrm>
                        <a:prstGeom prst="rect">
                          <a:avLst/>
                        </a:prstGeom>
                        <a:ln/>
                      </pic:spPr>
                    </pic:pic>
                  </a:graphicData>
                </a:graphic>
              </wp:inline>
            </w:drawing>
          </w:r>
        </w:p>
      </w:tc>
      <w:tc>
        <w:tcPr>
          <w:tcW w:w="2839" w:type="dxa"/>
          <w:shd w:val="clear" w:color="auto" w:fill="FFFFFF"/>
          <w:tcMar>
            <w:left w:w="0" w:type="dxa"/>
            <w:right w:w="0" w:type="dxa"/>
          </w:tcMar>
          <w:vAlign w:val="center"/>
        </w:tcPr>
        <w:p w14:paraId="497B25E9" w14:textId="77777777" w:rsidR="001B2045" w:rsidRDefault="00E50750">
          <w:pPr>
            <w:spacing w:after="0" w:line="240" w:lineRule="auto"/>
            <w:jc w:val="right"/>
          </w:pPr>
          <w:r>
            <w:rPr>
              <w:noProof/>
            </w:rPr>
            <w:drawing>
              <wp:inline distT="0" distB="0" distL="0" distR="0" wp14:anchorId="1FD21772" wp14:editId="59DA3A84">
                <wp:extent cx="1809750" cy="5429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809750" cy="542925"/>
                        </a:xfrm>
                        <a:prstGeom prst="rect">
                          <a:avLst/>
                        </a:prstGeom>
                        <a:ln/>
                      </pic:spPr>
                    </pic:pic>
                  </a:graphicData>
                </a:graphic>
              </wp:inline>
            </w:drawing>
          </w:r>
        </w:p>
      </w:tc>
    </w:tr>
  </w:tbl>
  <w:tbl>
    <w:tblPr>
      <w:tblStyle w:val="a1"/>
      <w:tblW w:w="9720" w:type="dxa"/>
      <w:jc w:val="center"/>
      <w:tblInd w:w="0" w:type="dxa"/>
      <w:tblLayout w:type="fixed"/>
      <w:tblLook w:val="0400" w:firstRow="0" w:lastRow="0" w:firstColumn="0" w:lastColumn="0" w:noHBand="0" w:noVBand="1"/>
    </w:tblPr>
    <w:tblGrid>
      <w:gridCol w:w="2166"/>
      <w:gridCol w:w="1475"/>
      <w:gridCol w:w="3240"/>
      <w:gridCol w:w="2839"/>
    </w:tblGrid>
    <w:tr w:rsidR="00D50BB1" w14:paraId="0FD051D8" w14:textId="77777777" w:rsidTr="00C8291C">
      <w:trPr>
        <w:trHeight w:val="360"/>
        <w:jc w:val="center"/>
      </w:trPr>
      <w:tc>
        <w:tcPr>
          <w:tcW w:w="2166" w:type="dxa"/>
          <w:shd w:val="clear" w:color="auto" w:fill="FFFFFF"/>
          <w:tcMar>
            <w:left w:w="0" w:type="dxa"/>
            <w:right w:w="0" w:type="dxa"/>
          </w:tcMar>
          <w:vAlign w:val="center"/>
        </w:tcPr>
        <w:p w14:paraId="1F5E4856" w14:textId="387A740C" w:rsidR="00D50BB1" w:rsidRDefault="00D50BB1" w:rsidP="00C8291C">
          <w:pPr>
            <w:spacing w:after="0" w:line="240" w:lineRule="auto"/>
          </w:pPr>
        </w:p>
      </w:tc>
      <w:tc>
        <w:tcPr>
          <w:tcW w:w="1475" w:type="dxa"/>
          <w:shd w:val="clear" w:color="auto" w:fill="FFFFFF"/>
          <w:tcMar>
            <w:left w:w="0" w:type="dxa"/>
            <w:right w:w="0" w:type="dxa"/>
          </w:tcMar>
          <w:vAlign w:val="center"/>
        </w:tcPr>
        <w:p w14:paraId="7F09C36F" w14:textId="77777777" w:rsidR="00D50BB1" w:rsidRDefault="00D50BB1" w:rsidP="00C8291C">
          <w:pPr>
            <w:spacing w:after="0" w:line="240" w:lineRule="auto"/>
          </w:pPr>
        </w:p>
      </w:tc>
      <w:tc>
        <w:tcPr>
          <w:tcW w:w="3240" w:type="dxa"/>
          <w:shd w:val="clear" w:color="auto" w:fill="FFFFFF"/>
          <w:tcMar>
            <w:left w:w="0" w:type="dxa"/>
            <w:right w:w="0" w:type="dxa"/>
          </w:tcMar>
          <w:vAlign w:val="center"/>
        </w:tcPr>
        <w:p w14:paraId="349B825E" w14:textId="7719EBDD" w:rsidR="00D50BB1" w:rsidRDefault="00D50BB1" w:rsidP="00C8291C">
          <w:pPr>
            <w:spacing w:after="0" w:line="240" w:lineRule="auto"/>
          </w:pPr>
        </w:p>
      </w:tc>
      <w:tc>
        <w:tcPr>
          <w:tcW w:w="2839" w:type="dxa"/>
          <w:shd w:val="clear" w:color="auto" w:fill="FFFFFF"/>
          <w:tcMar>
            <w:left w:w="0" w:type="dxa"/>
            <w:right w:w="0" w:type="dxa"/>
          </w:tcMar>
          <w:vAlign w:val="center"/>
        </w:tcPr>
        <w:p w14:paraId="4CE53287" w14:textId="28704BD5" w:rsidR="00D50BB1" w:rsidRDefault="00D50BB1" w:rsidP="00C8291C">
          <w:pPr>
            <w:spacing w:after="0" w:line="240" w:lineRule="auto"/>
            <w:jc w:val="right"/>
          </w:pPr>
        </w:p>
      </w:tc>
    </w:tr>
  </w:tbl>
  <w:p w14:paraId="3B594762" w14:textId="77777777" w:rsidR="00D50BB1" w:rsidRPr="00D50BB1" w:rsidRDefault="00D50BB1" w:rsidP="00D50BB1">
    <w:pPr>
      <w:pBdr>
        <w:top w:val="none" w:sz="0" w:space="0" w:color="auto"/>
        <w:left w:val="none" w:sz="0" w:space="0" w:color="auto"/>
        <w:bottom w:val="none" w:sz="0" w:space="0" w:color="auto"/>
        <w:right w:val="none" w:sz="0" w:space="0" w:color="auto"/>
        <w:between w:val="none" w:sz="0" w:space="0" w:color="auto"/>
      </w:pBdr>
      <w:tabs>
        <w:tab w:val="center" w:pos="0"/>
      </w:tabs>
      <w:spacing w:after="0" w:line="240" w:lineRule="auto"/>
      <w:rPr>
        <w:rFonts w:ascii="Arial" w:eastAsia="Times New Roman" w:hAnsi="Arial" w:cs="Arial"/>
        <w:b/>
        <w:color w:val="auto"/>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681E" w14:textId="77777777" w:rsidR="001B2045" w:rsidRDefault="001B2045">
    <w:pPr>
      <w:widowControl w:val="0"/>
      <w:spacing w:before="567" w:after="0" w:line="276" w:lineRule="auto"/>
    </w:pPr>
  </w:p>
  <w:tbl>
    <w:tblPr>
      <w:tblStyle w:val="a1"/>
      <w:tblW w:w="9720" w:type="dxa"/>
      <w:jc w:val="center"/>
      <w:tblInd w:w="0" w:type="dxa"/>
      <w:tblLayout w:type="fixed"/>
      <w:tblLook w:val="0400" w:firstRow="0" w:lastRow="0" w:firstColumn="0" w:lastColumn="0" w:noHBand="0" w:noVBand="1"/>
    </w:tblPr>
    <w:tblGrid>
      <w:gridCol w:w="2166"/>
      <w:gridCol w:w="1475"/>
      <w:gridCol w:w="3240"/>
      <w:gridCol w:w="2839"/>
    </w:tblGrid>
    <w:tr w:rsidR="001B2045" w14:paraId="359A8AA5" w14:textId="77777777">
      <w:trPr>
        <w:trHeight w:val="360"/>
        <w:jc w:val="center"/>
      </w:trPr>
      <w:tc>
        <w:tcPr>
          <w:tcW w:w="2166" w:type="dxa"/>
          <w:shd w:val="clear" w:color="auto" w:fill="FFFFFF"/>
          <w:tcMar>
            <w:left w:w="0" w:type="dxa"/>
            <w:right w:w="0" w:type="dxa"/>
          </w:tcMar>
          <w:vAlign w:val="center"/>
        </w:tcPr>
        <w:p w14:paraId="21A3301A" w14:textId="77777777" w:rsidR="001B2045" w:rsidRDefault="00E50750">
          <w:pPr>
            <w:spacing w:after="0" w:line="240" w:lineRule="auto"/>
          </w:pPr>
          <w:r>
            <w:rPr>
              <w:noProof/>
            </w:rPr>
            <w:drawing>
              <wp:inline distT="0" distB="0" distL="0" distR="0" wp14:anchorId="2403CC72" wp14:editId="40C6F9DF">
                <wp:extent cx="1038225" cy="542925"/>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38225" cy="542925"/>
                        </a:xfrm>
                        <a:prstGeom prst="rect">
                          <a:avLst/>
                        </a:prstGeom>
                        <a:ln/>
                      </pic:spPr>
                    </pic:pic>
                  </a:graphicData>
                </a:graphic>
              </wp:inline>
            </w:drawing>
          </w:r>
        </w:p>
      </w:tc>
      <w:tc>
        <w:tcPr>
          <w:tcW w:w="1475" w:type="dxa"/>
          <w:shd w:val="clear" w:color="auto" w:fill="FFFFFF"/>
          <w:tcMar>
            <w:left w:w="0" w:type="dxa"/>
            <w:right w:w="0" w:type="dxa"/>
          </w:tcMar>
          <w:vAlign w:val="center"/>
        </w:tcPr>
        <w:p w14:paraId="0C7909D3" w14:textId="77777777" w:rsidR="001B2045" w:rsidRDefault="001B2045">
          <w:pPr>
            <w:spacing w:after="0" w:line="240" w:lineRule="auto"/>
          </w:pPr>
        </w:p>
      </w:tc>
      <w:tc>
        <w:tcPr>
          <w:tcW w:w="3240" w:type="dxa"/>
          <w:shd w:val="clear" w:color="auto" w:fill="FFFFFF"/>
          <w:tcMar>
            <w:left w:w="0" w:type="dxa"/>
            <w:right w:w="0" w:type="dxa"/>
          </w:tcMar>
          <w:vAlign w:val="center"/>
        </w:tcPr>
        <w:p w14:paraId="1A7A95DB" w14:textId="77777777" w:rsidR="001B2045" w:rsidRDefault="00E50750">
          <w:pPr>
            <w:spacing w:after="0" w:line="240" w:lineRule="auto"/>
          </w:pPr>
          <w:r>
            <w:rPr>
              <w:noProof/>
            </w:rPr>
            <w:drawing>
              <wp:inline distT="0" distB="0" distL="0" distR="0" wp14:anchorId="2C6CAC4A" wp14:editId="601A6946">
                <wp:extent cx="1190625" cy="428625"/>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90625" cy="428625"/>
                        </a:xfrm>
                        <a:prstGeom prst="rect">
                          <a:avLst/>
                        </a:prstGeom>
                        <a:ln/>
                      </pic:spPr>
                    </pic:pic>
                  </a:graphicData>
                </a:graphic>
              </wp:inline>
            </w:drawing>
          </w:r>
        </w:p>
      </w:tc>
      <w:tc>
        <w:tcPr>
          <w:tcW w:w="2839" w:type="dxa"/>
          <w:shd w:val="clear" w:color="auto" w:fill="FFFFFF"/>
          <w:tcMar>
            <w:left w:w="0" w:type="dxa"/>
            <w:right w:w="0" w:type="dxa"/>
          </w:tcMar>
          <w:vAlign w:val="center"/>
        </w:tcPr>
        <w:p w14:paraId="6BD3C0DB" w14:textId="77777777" w:rsidR="001B2045" w:rsidRDefault="00E50750">
          <w:pPr>
            <w:spacing w:after="0" w:line="240" w:lineRule="auto"/>
            <w:jc w:val="right"/>
          </w:pPr>
          <w:r>
            <w:rPr>
              <w:noProof/>
            </w:rPr>
            <w:drawing>
              <wp:inline distT="0" distB="0" distL="0" distR="0" wp14:anchorId="70458CD3" wp14:editId="37387828">
                <wp:extent cx="1809750" cy="542925"/>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1809750" cy="542925"/>
                        </a:xfrm>
                        <a:prstGeom prst="rect">
                          <a:avLst/>
                        </a:prstGeom>
                        <a:ln/>
                      </pic:spPr>
                    </pic:pic>
                  </a:graphicData>
                </a:graphic>
              </wp:inline>
            </w:drawing>
          </w:r>
        </w:p>
      </w:tc>
    </w:tr>
  </w:tbl>
  <w:p w14:paraId="2D29AA5E" w14:textId="77777777" w:rsidR="001B2045" w:rsidRDefault="001B2045">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17E"/>
    <w:multiLevelType w:val="hybridMultilevel"/>
    <w:tmpl w:val="ED964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07759"/>
    <w:multiLevelType w:val="hybridMultilevel"/>
    <w:tmpl w:val="B67C3E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9B97580"/>
    <w:multiLevelType w:val="hybridMultilevel"/>
    <w:tmpl w:val="E05A57E4"/>
    <w:lvl w:ilvl="0" w:tplc="5DE8F8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0BF07AC"/>
    <w:multiLevelType w:val="hybridMultilevel"/>
    <w:tmpl w:val="D1543040"/>
    <w:lvl w:ilvl="0" w:tplc="5DE8F8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1405741"/>
    <w:multiLevelType w:val="multilevel"/>
    <w:tmpl w:val="5B24DC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2000A8E"/>
    <w:multiLevelType w:val="hybridMultilevel"/>
    <w:tmpl w:val="21FC49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nsid w:val="229741A1"/>
    <w:multiLevelType w:val="hybridMultilevel"/>
    <w:tmpl w:val="E0FA7A40"/>
    <w:lvl w:ilvl="0" w:tplc="7DCA2BA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485AC1"/>
    <w:multiLevelType w:val="multilevel"/>
    <w:tmpl w:val="EEB05658"/>
    <w:lvl w:ilvl="0">
      <w:start w:val="7"/>
      <w:numFmt w:val="decimal"/>
      <w:lvlText w:val="%1."/>
      <w:lvlJc w:val="left"/>
      <w:pPr>
        <w:ind w:left="720" w:hanging="360"/>
      </w:pPr>
    </w:lvl>
    <w:lvl w:ilvl="1">
      <w:start w:val="1"/>
      <w:numFmt w:val="decimal"/>
      <w:lvlText w:val="%2."/>
      <w:lvlJc w:val="left"/>
      <w:pPr>
        <w:ind w:left="1080" w:hanging="360"/>
      </w:pPr>
      <w:rPr>
        <w:rFonts w:ascii="Times New Roman" w:hAnsi="Times New Roman" w:cs="Times New Roman"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6F70474"/>
    <w:multiLevelType w:val="hybridMultilevel"/>
    <w:tmpl w:val="ECCE3840"/>
    <w:lvl w:ilvl="0" w:tplc="5DE8F8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D3B5C71"/>
    <w:multiLevelType w:val="hybridMultilevel"/>
    <w:tmpl w:val="27AAE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55286"/>
    <w:multiLevelType w:val="hybridMultilevel"/>
    <w:tmpl w:val="435E0416"/>
    <w:lvl w:ilvl="0" w:tplc="5DE8F8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18E5ED0"/>
    <w:multiLevelType w:val="multilevel"/>
    <w:tmpl w:val="37422A56"/>
    <w:lvl w:ilvl="0">
      <w:start w:val="1"/>
      <w:numFmt w:val="bullet"/>
      <w:lvlText w:val="●"/>
      <w:lvlJc w:val="left"/>
      <w:pPr>
        <w:ind w:left="1275" w:hanging="360"/>
      </w:pPr>
      <w:rPr>
        <w:rFonts w:ascii="Arial" w:eastAsia="Arial" w:hAnsi="Arial" w:cs="Arial"/>
      </w:rPr>
    </w:lvl>
    <w:lvl w:ilvl="1">
      <w:start w:val="1"/>
      <w:numFmt w:val="bullet"/>
      <w:lvlText w:val="◦"/>
      <w:lvlJc w:val="left"/>
      <w:pPr>
        <w:ind w:left="1635" w:hanging="360"/>
      </w:pPr>
      <w:rPr>
        <w:rFonts w:ascii="Arial" w:eastAsia="Arial" w:hAnsi="Arial" w:cs="Arial"/>
      </w:rPr>
    </w:lvl>
    <w:lvl w:ilvl="2">
      <w:start w:val="1"/>
      <w:numFmt w:val="bullet"/>
      <w:lvlText w:val="▪"/>
      <w:lvlJc w:val="left"/>
      <w:pPr>
        <w:ind w:left="1995" w:hanging="360"/>
      </w:pPr>
      <w:rPr>
        <w:rFonts w:ascii="Arial" w:eastAsia="Arial" w:hAnsi="Arial" w:cs="Arial"/>
      </w:rPr>
    </w:lvl>
    <w:lvl w:ilvl="3">
      <w:start w:val="1"/>
      <w:numFmt w:val="bullet"/>
      <w:lvlText w:val="•"/>
      <w:lvlJc w:val="left"/>
      <w:pPr>
        <w:ind w:left="2355" w:hanging="360"/>
      </w:pPr>
      <w:rPr>
        <w:rFonts w:ascii="Arial" w:eastAsia="Arial" w:hAnsi="Arial" w:cs="Arial"/>
      </w:rPr>
    </w:lvl>
    <w:lvl w:ilvl="4">
      <w:start w:val="1"/>
      <w:numFmt w:val="bullet"/>
      <w:lvlText w:val="◦"/>
      <w:lvlJc w:val="left"/>
      <w:pPr>
        <w:ind w:left="2715" w:hanging="360"/>
      </w:pPr>
      <w:rPr>
        <w:rFonts w:ascii="Arial" w:eastAsia="Arial" w:hAnsi="Arial" w:cs="Arial"/>
      </w:rPr>
    </w:lvl>
    <w:lvl w:ilvl="5">
      <w:start w:val="1"/>
      <w:numFmt w:val="bullet"/>
      <w:lvlText w:val="▪"/>
      <w:lvlJc w:val="left"/>
      <w:pPr>
        <w:ind w:left="3075" w:hanging="360"/>
      </w:pPr>
      <w:rPr>
        <w:rFonts w:ascii="Arial" w:eastAsia="Arial" w:hAnsi="Arial" w:cs="Arial"/>
      </w:rPr>
    </w:lvl>
    <w:lvl w:ilvl="6">
      <w:start w:val="1"/>
      <w:numFmt w:val="bullet"/>
      <w:lvlText w:val="•"/>
      <w:lvlJc w:val="left"/>
      <w:pPr>
        <w:ind w:left="3435" w:hanging="360"/>
      </w:pPr>
      <w:rPr>
        <w:rFonts w:ascii="Arial" w:eastAsia="Arial" w:hAnsi="Arial" w:cs="Arial"/>
      </w:rPr>
    </w:lvl>
    <w:lvl w:ilvl="7">
      <w:start w:val="1"/>
      <w:numFmt w:val="bullet"/>
      <w:lvlText w:val="◦"/>
      <w:lvlJc w:val="left"/>
      <w:pPr>
        <w:ind w:left="3795" w:hanging="360"/>
      </w:pPr>
      <w:rPr>
        <w:rFonts w:ascii="Arial" w:eastAsia="Arial" w:hAnsi="Arial" w:cs="Arial"/>
      </w:rPr>
    </w:lvl>
    <w:lvl w:ilvl="8">
      <w:start w:val="1"/>
      <w:numFmt w:val="bullet"/>
      <w:lvlText w:val="▪"/>
      <w:lvlJc w:val="left"/>
      <w:pPr>
        <w:ind w:left="4155" w:hanging="360"/>
      </w:pPr>
      <w:rPr>
        <w:rFonts w:ascii="Arial" w:eastAsia="Arial" w:hAnsi="Arial" w:cs="Arial"/>
      </w:rPr>
    </w:lvl>
  </w:abstractNum>
  <w:abstractNum w:abstractNumId="12">
    <w:nsid w:val="390004A1"/>
    <w:multiLevelType w:val="multilevel"/>
    <w:tmpl w:val="9AA655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53E255E"/>
    <w:multiLevelType w:val="hybridMultilevel"/>
    <w:tmpl w:val="CEE00B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785032F"/>
    <w:multiLevelType w:val="hybridMultilevel"/>
    <w:tmpl w:val="B734B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4C4644"/>
    <w:multiLevelType w:val="hybridMultilevel"/>
    <w:tmpl w:val="D0F6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C5E9D"/>
    <w:multiLevelType w:val="multilevel"/>
    <w:tmpl w:val="D0329188"/>
    <w:lvl w:ilvl="0">
      <w:start w:val="1"/>
      <w:numFmt w:val="upperRoman"/>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17">
    <w:nsid w:val="4E8E6FA3"/>
    <w:multiLevelType w:val="hybridMultilevel"/>
    <w:tmpl w:val="0422F0B6"/>
    <w:lvl w:ilvl="0" w:tplc="5DE8F8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52942E08"/>
    <w:multiLevelType w:val="hybridMultilevel"/>
    <w:tmpl w:val="4DF4F1D2"/>
    <w:lvl w:ilvl="0" w:tplc="5DE8F8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3E67874"/>
    <w:multiLevelType w:val="multilevel"/>
    <w:tmpl w:val="91F61652"/>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4197DF2"/>
    <w:multiLevelType w:val="hybridMultilevel"/>
    <w:tmpl w:val="97120582"/>
    <w:lvl w:ilvl="0" w:tplc="0415000B">
      <w:start w:val="1"/>
      <w:numFmt w:val="bullet"/>
      <w:lvlText w:val=""/>
      <w:lvlJc w:val="left"/>
      <w:pPr>
        <w:ind w:left="1416" w:hanging="360"/>
      </w:pPr>
      <w:rPr>
        <w:rFonts w:ascii="Wingdings" w:hAnsi="Wingdings" w:hint="default"/>
      </w:rPr>
    </w:lvl>
    <w:lvl w:ilvl="1" w:tplc="04150003">
      <w:start w:val="1"/>
      <w:numFmt w:val="bullet"/>
      <w:lvlText w:val="o"/>
      <w:lvlJc w:val="left"/>
      <w:pPr>
        <w:ind w:left="2136" w:hanging="360"/>
      </w:pPr>
      <w:rPr>
        <w:rFonts w:ascii="Courier New" w:hAnsi="Courier New" w:cs="Courier New" w:hint="default"/>
      </w:rPr>
    </w:lvl>
    <w:lvl w:ilvl="2" w:tplc="04150005">
      <w:start w:val="1"/>
      <w:numFmt w:val="bullet"/>
      <w:lvlText w:val=""/>
      <w:lvlJc w:val="left"/>
      <w:pPr>
        <w:ind w:left="2856" w:hanging="360"/>
      </w:pPr>
      <w:rPr>
        <w:rFonts w:ascii="Wingdings" w:hAnsi="Wingdings" w:hint="default"/>
      </w:rPr>
    </w:lvl>
    <w:lvl w:ilvl="3" w:tplc="04150001">
      <w:start w:val="1"/>
      <w:numFmt w:val="bullet"/>
      <w:lvlText w:val=""/>
      <w:lvlJc w:val="left"/>
      <w:pPr>
        <w:ind w:left="3576" w:hanging="360"/>
      </w:pPr>
      <w:rPr>
        <w:rFonts w:ascii="Symbol" w:hAnsi="Symbol" w:hint="default"/>
      </w:rPr>
    </w:lvl>
    <w:lvl w:ilvl="4" w:tplc="04150003">
      <w:start w:val="1"/>
      <w:numFmt w:val="bullet"/>
      <w:lvlText w:val="o"/>
      <w:lvlJc w:val="left"/>
      <w:pPr>
        <w:ind w:left="4296" w:hanging="360"/>
      </w:pPr>
      <w:rPr>
        <w:rFonts w:ascii="Courier New" w:hAnsi="Courier New" w:cs="Courier New" w:hint="default"/>
      </w:rPr>
    </w:lvl>
    <w:lvl w:ilvl="5" w:tplc="04150005">
      <w:start w:val="1"/>
      <w:numFmt w:val="bullet"/>
      <w:lvlText w:val=""/>
      <w:lvlJc w:val="left"/>
      <w:pPr>
        <w:ind w:left="5016" w:hanging="360"/>
      </w:pPr>
      <w:rPr>
        <w:rFonts w:ascii="Wingdings" w:hAnsi="Wingdings" w:hint="default"/>
      </w:rPr>
    </w:lvl>
    <w:lvl w:ilvl="6" w:tplc="04150001">
      <w:start w:val="1"/>
      <w:numFmt w:val="bullet"/>
      <w:lvlText w:val=""/>
      <w:lvlJc w:val="left"/>
      <w:pPr>
        <w:ind w:left="5736" w:hanging="360"/>
      </w:pPr>
      <w:rPr>
        <w:rFonts w:ascii="Symbol" w:hAnsi="Symbol" w:hint="default"/>
      </w:rPr>
    </w:lvl>
    <w:lvl w:ilvl="7" w:tplc="04150003">
      <w:start w:val="1"/>
      <w:numFmt w:val="bullet"/>
      <w:lvlText w:val="o"/>
      <w:lvlJc w:val="left"/>
      <w:pPr>
        <w:ind w:left="6456" w:hanging="360"/>
      </w:pPr>
      <w:rPr>
        <w:rFonts w:ascii="Courier New" w:hAnsi="Courier New" w:cs="Courier New" w:hint="default"/>
      </w:rPr>
    </w:lvl>
    <w:lvl w:ilvl="8" w:tplc="04150005">
      <w:start w:val="1"/>
      <w:numFmt w:val="bullet"/>
      <w:lvlText w:val=""/>
      <w:lvlJc w:val="left"/>
      <w:pPr>
        <w:ind w:left="7176" w:hanging="360"/>
      </w:pPr>
      <w:rPr>
        <w:rFonts w:ascii="Wingdings" w:hAnsi="Wingdings" w:hint="default"/>
      </w:rPr>
    </w:lvl>
  </w:abstractNum>
  <w:abstractNum w:abstractNumId="21">
    <w:nsid w:val="575C1C62"/>
    <w:multiLevelType w:val="hybridMultilevel"/>
    <w:tmpl w:val="31BC7ABE"/>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5C782E2D"/>
    <w:multiLevelType w:val="hybridMultilevel"/>
    <w:tmpl w:val="5600A45E"/>
    <w:lvl w:ilvl="0" w:tplc="5DE8F8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DC46442"/>
    <w:multiLevelType w:val="hybridMultilevel"/>
    <w:tmpl w:val="652A9B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2D83B3A"/>
    <w:multiLevelType w:val="multilevel"/>
    <w:tmpl w:val="A0C634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3713A8F"/>
    <w:multiLevelType w:val="hybridMultilevel"/>
    <w:tmpl w:val="5C4A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85069E"/>
    <w:multiLevelType w:val="hybridMultilevel"/>
    <w:tmpl w:val="0C3E17DC"/>
    <w:lvl w:ilvl="0" w:tplc="5DE8F8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BA0183A"/>
    <w:multiLevelType w:val="hybridMultilevel"/>
    <w:tmpl w:val="27E2576E"/>
    <w:lvl w:ilvl="0" w:tplc="5DE8F8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708D17DE"/>
    <w:multiLevelType w:val="hybridMultilevel"/>
    <w:tmpl w:val="ACC21360"/>
    <w:lvl w:ilvl="0" w:tplc="A86808C8">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40116BB"/>
    <w:multiLevelType w:val="hybridMultilevel"/>
    <w:tmpl w:val="365CB092"/>
    <w:lvl w:ilvl="0" w:tplc="04150019">
      <w:start w:val="1"/>
      <w:numFmt w:val="lowerLetter"/>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0">
    <w:nsid w:val="75CF65B8"/>
    <w:multiLevelType w:val="hybridMultilevel"/>
    <w:tmpl w:val="00E80C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4"/>
  </w:num>
  <w:num w:numId="5">
    <w:abstractNumId w:val="7"/>
  </w:num>
  <w:num w:numId="6">
    <w:abstractNumId w:val="19"/>
  </w:num>
  <w:num w:numId="7">
    <w:abstractNumId w:val="24"/>
  </w:num>
  <w:num w:numId="8">
    <w:abstractNumId w:val="14"/>
  </w:num>
  <w:num w:numId="9">
    <w:abstractNumId w:val="25"/>
  </w:num>
  <w:num w:numId="10">
    <w:abstractNumId w:val="0"/>
  </w:num>
  <w:num w:numId="11">
    <w:abstractNumId w:val="15"/>
  </w:num>
  <w:num w:numId="12">
    <w:abstractNumId w:val="9"/>
  </w:num>
  <w:num w:numId="13">
    <w:abstractNumId w:val="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27"/>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Kucharski">
    <w15:presenceInfo w15:providerId="AD" w15:userId="S-1-5-21-1434787077-604915298-1717707607-1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45"/>
    <w:rsid w:val="00060202"/>
    <w:rsid w:val="000751A4"/>
    <w:rsid w:val="00095CB0"/>
    <w:rsid w:val="000B3875"/>
    <w:rsid w:val="000C38F9"/>
    <w:rsid w:val="00131D06"/>
    <w:rsid w:val="001B2045"/>
    <w:rsid w:val="001C21CE"/>
    <w:rsid w:val="002317A4"/>
    <w:rsid w:val="002350CC"/>
    <w:rsid w:val="002E4129"/>
    <w:rsid w:val="002E78D9"/>
    <w:rsid w:val="003F6E0C"/>
    <w:rsid w:val="00424B2D"/>
    <w:rsid w:val="00456E21"/>
    <w:rsid w:val="0046229E"/>
    <w:rsid w:val="004D219B"/>
    <w:rsid w:val="004D5EC4"/>
    <w:rsid w:val="005139FA"/>
    <w:rsid w:val="00522699"/>
    <w:rsid w:val="0059203A"/>
    <w:rsid w:val="005A0C5C"/>
    <w:rsid w:val="00670D8C"/>
    <w:rsid w:val="0080414A"/>
    <w:rsid w:val="0087041F"/>
    <w:rsid w:val="008D5847"/>
    <w:rsid w:val="00944619"/>
    <w:rsid w:val="00990FD2"/>
    <w:rsid w:val="00B94E7B"/>
    <w:rsid w:val="00BC40D7"/>
    <w:rsid w:val="00BD7E0A"/>
    <w:rsid w:val="00BF5493"/>
    <w:rsid w:val="00C620DD"/>
    <w:rsid w:val="00C83C9A"/>
    <w:rsid w:val="00CE013D"/>
    <w:rsid w:val="00D047CD"/>
    <w:rsid w:val="00D12F84"/>
    <w:rsid w:val="00D50BB1"/>
    <w:rsid w:val="00D91E2B"/>
    <w:rsid w:val="00DB6960"/>
    <w:rsid w:val="00E42DF1"/>
    <w:rsid w:val="00E50750"/>
    <w:rsid w:val="00E75CC9"/>
    <w:rsid w:val="00F35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spacing w:before="100" w:after="100" w:line="240" w:lineRule="auto"/>
      <w:outlineLvl w:val="2"/>
    </w:pPr>
    <w:rPr>
      <w:rFonts w:ascii="Times New Roman" w:eastAsia="Times New Roman" w:hAnsi="Times New Roman" w:cs="Times New Roman"/>
      <w:b/>
      <w:sz w:val="27"/>
      <w:szCs w:val="27"/>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2317A4"/>
    <w:rPr>
      <w:sz w:val="16"/>
      <w:szCs w:val="16"/>
    </w:rPr>
  </w:style>
  <w:style w:type="paragraph" w:styleId="Tekstkomentarza">
    <w:name w:val="annotation text"/>
    <w:basedOn w:val="Normalny"/>
    <w:link w:val="TekstkomentarzaZnak"/>
    <w:uiPriority w:val="99"/>
    <w:semiHidden/>
    <w:unhideWhenUsed/>
    <w:rsid w:val="002317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7A4"/>
    <w:rPr>
      <w:sz w:val="20"/>
      <w:szCs w:val="20"/>
    </w:rPr>
  </w:style>
  <w:style w:type="paragraph" w:styleId="Tematkomentarza">
    <w:name w:val="annotation subject"/>
    <w:basedOn w:val="Tekstkomentarza"/>
    <w:next w:val="Tekstkomentarza"/>
    <w:link w:val="TematkomentarzaZnak"/>
    <w:uiPriority w:val="99"/>
    <w:semiHidden/>
    <w:unhideWhenUsed/>
    <w:rsid w:val="002317A4"/>
    <w:rPr>
      <w:b/>
      <w:bCs/>
    </w:rPr>
  </w:style>
  <w:style w:type="character" w:customStyle="1" w:styleId="TematkomentarzaZnak">
    <w:name w:val="Temat komentarza Znak"/>
    <w:basedOn w:val="TekstkomentarzaZnak"/>
    <w:link w:val="Tematkomentarza"/>
    <w:uiPriority w:val="99"/>
    <w:semiHidden/>
    <w:rsid w:val="002317A4"/>
    <w:rPr>
      <w:b/>
      <w:bCs/>
      <w:sz w:val="20"/>
      <w:szCs w:val="20"/>
    </w:rPr>
  </w:style>
  <w:style w:type="paragraph" w:styleId="Tekstdymka">
    <w:name w:val="Balloon Text"/>
    <w:basedOn w:val="Normalny"/>
    <w:link w:val="TekstdymkaZnak"/>
    <w:uiPriority w:val="99"/>
    <w:semiHidden/>
    <w:unhideWhenUsed/>
    <w:rsid w:val="00231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7A4"/>
    <w:rPr>
      <w:rFonts w:ascii="Segoe UI" w:hAnsi="Segoe UI" w:cs="Segoe UI"/>
      <w:sz w:val="18"/>
      <w:szCs w:val="18"/>
    </w:rPr>
  </w:style>
  <w:style w:type="paragraph" w:styleId="Nagwek">
    <w:name w:val="header"/>
    <w:basedOn w:val="Normalny"/>
    <w:link w:val="NagwekZnak"/>
    <w:uiPriority w:val="99"/>
    <w:unhideWhenUsed/>
    <w:rsid w:val="00D50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BB1"/>
  </w:style>
  <w:style w:type="paragraph" w:styleId="Stopka">
    <w:name w:val="footer"/>
    <w:basedOn w:val="Normalny"/>
    <w:link w:val="StopkaZnak"/>
    <w:uiPriority w:val="99"/>
    <w:unhideWhenUsed/>
    <w:rsid w:val="00D50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BB1"/>
  </w:style>
  <w:style w:type="table" w:styleId="Tabela-Siatka">
    <w:name w:val="Table Grid"/>
    <w:basedOn w:val="Standardowy"/>
    <w:uiPriority w:val="39"/>
    <w:rsid w:val="0007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0202"/>
    <w:pPr>
      <w:ind w:left="720"/>
      <w:contextualSpacing/>
    </w:pPr>
  </w:style>
  <w:style w:type="paragraph" w:styleId="Tekstprzypisudolnego">
    <w:name w:val="footnote text"/>
    <w:basedOn w:val="Normalny"/>
    <w:link w:val="TekstprzypisudolnegoZnak"/>
    <w:uiPriority w:val="99"/>
    <w:semiHidden/>
    <w:unhideWhenUsed/>
    <w:rsid w:val="00095C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5CB0"/>
    <w:rPr>
      <w:sz w:val="20"/>
      <w:szCs w:val="20"/>
    </w:rPr>
  </w:style>
  <w:style w:type="character" w:styleId="Odwoanieprzypisudolnego">
    <w:name w:val="footnote reference"/>
    <w:uiPriority w:val="99"/>
    <w:semiHidden/>
    <w:unhideWhenUsed/>
    <w:rsid w:val="00095C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spacing w:before="100" w:after="100" w:line="240" w:lineRule="auto"/>
      <w:outlineLvl w:val="2"/>
    </w:pPr>
    <w:rPr>
      <w:rFonts w:ascii="Times New Roman" w:eastAsia="Times New Roman" w:hAnsi="Times New Roman" w:cs="Times New Roman"/>
      <w:b/>
      <w:sz w:val="27"/>
      <w:szCs w:val="27"/>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2317A4"/>
    <w:rPr>
      <w:sz w:val="16"/>
      <w:szCs w:val="16"/>
    </w:rPr>
  </w:style>
  <w:style w:type="paragraph" w:styleId="Tekstkomentarza">
    <w:name w:val="annotation text"/>
    <w:basedOn w:val="Normalny"/>
    <w:link w:val="TekstkomentarzaZnak"/>
    <w:uiPriority w:val="99"/>
    <w:semiHidden/>
    <w:unhideWhenUsed/>
    <w:rsid w:val="002317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7A4"/>
    <w:rPr>
      <w:sz w:val="20"/>
      <w:szCs w:val="20"/>
    </w:rPr>
  </w:style>
  <w:style w:type="paragraph" w:styleId="Tematkomentarza">
    <w:name w:val="annotation subject"/>
    <w:basedOn w:val="Tekstkomentarza"/>
    <w:next w:val="Tekstkomentarza"/>
    <w:link w:val="TematkomentarzaZnak"/>
    <w:uiPriority w:val="99"/>
    <w:semiHidden/>
    <w:unhideWhenUsed/>
    <w:rsid w:val="002317A4"/>
    <w:rPr>
      <w:b/>
      <w:bCs/>
    </w:rPr>
  </w:style>
  <w:style w:type="character" w:customStyle="1" w:styleId="TematkomentarzaZnak">
    <w:name w:val="Temat komentarza Znak"/>
    <w:basedOn w:val="TekstkomentarzaZnak"/>
    <w:link w:val="Tematkomentarza"/>
    <w:uiPriority w:val="99"/>
    <w:semiHidden/>
    <w:rsid w:val="002317A4"/>
    <w:rPr>
      <w:b/>
      <w:bCs/>
      <w:sz w:val="20"/>
      <w:szCs w:val="20"/>
    </w:rPr>
  </w:style>
  <w:style w:type="paragraph" w:styleId="Tekstdymka">
    <w:name w:val="Balloon Text"/>
    <w:basedOn w:val="Normalny"/>
    <w:link w:val="TekstdymkaZnak"/>
    <w:uiPriority w:val="99"/>
    <w:semiHidden/>
    <w:unhideWhenUsed/>
    <w:rsid w:val="00231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7A4"/>
    <w:rPr>
      <w:rFonts w:ascii="Segoe UI" w:hAnsi="Segoe UI" w:cs="Segoe UI"/>
      <w:sz w:val="18"/>
      <w:szCs w:val="18"/>
    </w:rPr>
  </w:style>
  <w:style w:type="paragraph" w:styleId="Nagwek">
    <w:name w:val="header"/>
    <w:basedOn w:val="Normalny"/>
    <w:link w:val="NagwekZnak"/>
    <w:uiPriority w:val="99"/>
    <w:unhideWhenUsed/>
    <w:rsid w:val="00D50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BB1"/>
  </w:style>
  <w:style w:type="paragraph" w:styleId="Stopka">
    <w:name w:val="footer"/>
    <w:basedOn w:val="Normalny"/>
    <w:link w:val="StopkaZnak"/>
    <w:uiPriority w:val="99"/>
    <w:unhideWhenUsed/>
    <w:rsid w:val="00D50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BB1"/>
  </w:style>
  <w:style w:type="table" w:styleId="Tabela-Siatka">
    <w:name w:val="Table Grid"/>
    <w:basedOn w:val="Standardowy"/>
    <w:uiPriority w:val="39"/>
    <w:rsid w:val="0007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0202"/>
    <w:pPr>
      <w:ind w:left="720"/>
      <w:contextualSpacing/>
    </w:pPr>
  </w:style>
  <w:style w:type="paragraph" w:styleId="Tekstprzypisudolnego">
    <w:name w:val="footnote text"/>
    <w:basedOn w:val="Normalny"/>
    <w:link w:val="TekstprzypisudolnegoZnak"/>
    <w:uiPriority w:val="99"/>
    <w:semiHidden/>
    <w:unhideWhenUsed/>
    <w:rsid w:val="00095C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5CB0"/>
    <w:rPr>
      <w:sz w:val="20"/>
      <w:szCs w:val="20"/>
    </w:rPr>
  </w:style>
  <w:style w:type="character" w:styleId="Odwoanieprzypisudolnego">
    <w:name w:val="footnote reference"/>
    <w:uiPriority w:val="99"/>
    <w:semiHidden/>
    <w:unhideWhenUsed/>
    <w:rsid w:val="00095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c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8DF7-D5BD-4591-81CC-F90F897E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3358</Words>
  <Characters>20149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Kucharski</dc:creator>
  <cp:lastModifiedBy>mscislowska</cp:lastModifiedBy>
  <cp:revision>3</cp:revision>
  <dcterms:created xsi:type="dcterms:W3CDTF">2018-02-06T15:51:00Z</dcterms:created>
  <dcterms:modified xsi:type="dcterms:W3CDTF">2018-02-06T15:58:00Z</dcterms:modified>
</cp:coreProperties>
</file>